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504" w:rsidRDefault="00EE11D1">
      <w:pPr>
        <w:jc w:val="center"/>
        <w:rPr>
          <w:rFonts w:ascii="宋体"/>
          <w:b/>
          <w:sz w:val="44"/>
          <w:szCs w:val="44"/>
        </w:rPr>
      </w:pPr>
      <w:bookmarkStart w:id="0" w:name="_GoBack"/>
      <w:bookmarkEnd w:id="0"/>
      <w:r>
        <w:rPr>
          <w:rFonts w:ascii="宋体" w:hAnsi="宋体" w:hint="eastAsia"/>
          <w:b/>
          <w:sz w:val="44"/>
          <w:szCs w:val="44"/>
        </w:rPr>
        <w:t>保定市公安局</w:t>
      </w:r>
    </w:p>
    <w:p w:rsidR="00366504" w:rsidRDefault="00EE11D1">
      <w:pPr>
        <w:jc w:val="center"/>
        <w:rPr>
          <w:rFonts w:ascii="宋体"/>
          <w:b/>
          <w:sz w:val="44"/>
          <w:szCs w:val="44"/>
        </w:rPr>
      </w:pPr>
      <w:r>
        <w:rPr>
          <w:rFonts w:ascii="宋体" w:hAnsi="宋体"/>
          <w:b/>
          <w:sz w:val="44"/>
          <w:szCs w:val="44"/>
        </w:rPr>
        <w:t>2017</w:t>
      </w:r>
      <w:r>
        <w:rPr>
          <w:rFonts w:ascii="宋体" w:hAnsi="宋体" w:hint="eastAsia"/>
          <w:b/>
          <w:sz w:val="44"/>
          <w:szCs w:val="44"/>
        </w:rPr>
        <w:t>年部门决算信息公开</w:t>
      </w:r>
    </w:p>
    <w:p w:rsidR="00366504" w:rsidRDefault="00366504">
      <w:pPr>
        <w:spacing w:line="520" w:lineRule="exact"/>
        <w:ind w:firstLineChars="200" w:firstLine="640"/>
        <w:jc w:val="left"/>
        <w:rPr>
          <w:rFonts w:ascii="Times New Roman" w:eastAsia="方正仿宋_GBK" w:hAnsi="Times New Roman"/>
          <w:sz w:val="32"/>
          <w:szCs w:val="32"/>
        </w:rPr>
      </w:pPr>
    </w:p>
    <w:p w:rsidR="00366504" w:rsidRDefault="00EE11D1">
      <w:pPr>
        <w:spacing w:line="520" w:lineRule="exact"/>
        <w:ind w:firstLineChars="200" w:firstLine="640"/>
        <w:jc w:val="left"/>
        <w:rPr>
          <w:rFonts w:ascii="仿宋_GB2312" w:eastAsia="仿宋_GB2312" w:hAnsi="仿宋" w:cs="仿宋_GB2312"/>
          <w:sz w:val="32"/>
          <w:szCs w:val="32"/>
        </w:rPr>
      </w:pPr>
      <w:r>
        <w:rPr>
          <w:rFonts w:ascii="仿宋_GB2312" w:eastAsia="仿宋_GB2312" w:hAnsi="仿宋" w:cs="仿宋_GB2312" w:hint="eastAsia"/>
          <w:sz w:val="32"/>
          <w:szCs w:val="32"/>
        </w:rPr>
        <w:t>按照《中华人民共和国预算法》</w:t>
      </w:r>
      <w:r>
        <w:rPr>
          <w:rFonts w:ascii="仿宋_GB2312" w:eastAsia="仿宋_GB2312" w:hAnsi="仿宋" w:cs="仿宋_GB2312" w:hint="eastAsia"/>
          <w:sz w:val="32"/>
          <w:szCs w:val="32"/>
        </w:rPr>
        <w:t>、</w:t>
      </w:r>
      <w:r>
        <w:rPr>
          <w:rFonts w:ascii="仿宋_GB2312" w:eastAsia="仿宋_GB2312" w:hAnsi="Times New Roman" w:hint="eastAsia"/>
          <w:sz w:val="32"/>
          <w:szCs w:val="32"/>
        </w:rPr>
        <w:t>《地方预决算公开操作规程》和《批复部门</w:t>
      </w:r>
      <w:r>
        <w:rPr>
          <w:rFonts w:ascii="仿宋_GB2312" w:eastAsia="仿宋_GB2312" w:hAnsi="Times New Roman"/>
          <w:sz w:val="32"/>
          <w:szCs w:val="32"/>
        </w:rPr>
        <w:t>2017</w:t>
      </w:r>
      <w:r>
        <w:rPr>
          <w:rFonts w:ascii="仿宋_GB2312" w:eastAsia="仿宋_GB2312" w:hAnsi="Times New Roman" w:hint="eastAsia"/>
          <w:sz w:val="32"/>
          <w:szCs w:val="32"/>
        </w:rPr>
        <w:t>年度部门决算的通知》</w:t>
      </w:r>
      <w:r>
        <w:rPr>
          <w:rFonts w:ascii="仿宋_GB2312" w:eastAsia="仿宋_GB2312" w:hAnsi="仿宋" w:cs="仿宋_GB2312" w:hint="eastAsia"/>
          <w:sz w:val="32"/>
          <w:szCs w:val="32"/>
        </w:rPr>
        <w:t>规定，现将保定市公安局</w:t>
      </w:r>
      <w:r>
        <w:rPr>
          <w:rFonts w:ascii="仿宋_GB2312" w:eastAsia="仿宋_GB2312" w:hAnsi="仿宋" w:cs="仿宋_GB2312"/>
          <w:sz w:val="32"/>
          <w:szCs w:val="32"/>
        </w:rPr>
        <w:t>2017</w:t>
      </w:r>
      <w:r>
        <w:rPr>
          <w:rFonts w:ascii="仿宋_GB2312" w:eastAsia="仿宋_GB2312" w:hAnsi="仿宋" w:cs="仿宋_GB2312" w:hint="eastAsia"/>
          <w:sz w:val="32"/>
          <w:szCs w:val="32"/>
        </w:rPr>
        <w:t>年部门决算公开如下：</w:t>
      </w:r>
    </w:p>
    <w:p w:rsidR="00366504" w:rsidRDefault="00EE11D1">
      <w:pPr>
        <w:spacing w:line="520" w:lineRule="exact"/>
        <w:ind w:firstLineChars="200" w:firstLine="640"/>
        <w:jc w:val="center"/>
        <w:rPr>
          <w:rFonts w:ascii="黑体" w:eastAsia="黑体" w:hAnsi="黑体"/>
          <w:sz w:val="32"/>
          <w:szCs w:val="32"/>
        </w:rPr>
      </w:pPr>
      <w:r>
        <w:rPr>
          <w:rFonts w:ascii="黑体" w:eastAsia="黑体" w:hAnsi="黑体" w:hint="eastAsia"/>
          <w:sz w:val="32"/>
          <w:szCs w:val="32"/>
        </w:rPr>
        <w:t>第一部分</w:t>
      </w:r>
      <w:r>
        <w:rPr>
          <w:rFonts w:ascii="黑体" w:eastAsia="黑体" w:hAnsi="黑体"/>
          <w:sz w:val="32"/>
          <w:szCs w:val="32"/>
        </w:rPr>
        <w:t>:</w:t>
      </w:r>
      <w:r>
        <w:rPr>
          <w:rFonts w:ascii="黑体" w:eastAsia="黑体" w:hAnsi="黑体" w:hint="eastAsia"/>
          <w:sz w:val="32"/>
          <w:szCs w:val="32"/>
        </w:rPr>
        <w:t>部门职责及机构设置情况</w:t>
      </w:r>
    </w:p>
    <w:p w:rsidR="00366504" w:rsidRDefault="00366504">
      <w:pPr>
        <w:spacing w:line="520" w:lineRule="exact"/>
        <w:ind w:firstLineChars="200" w:firstLine="640"/>
        <w:jc w:val="center"/>
        <w:rPr>
          <w:rFonts w:ascii="黑体" w:eastAsia="黑体" w:hAnsi="黑体"/>
          <w:sz w:val="32"/>
          <w:szCs w:val="32"/>
        </w:rPr>
      </w:pPr>
    </w:p>
    <w:p w:rsidR="00366504" w:rsidRDefault="00EE11D1">
      <w:pPr>
        <w:ind w:firstLineChars="200" w:firstLine="643"/>
        <w:rPr>
          <w:rFonts w:ascii="楷体" w:eastAsia="楷体" w:hAnsi="楷体"/>
          <w:b/>
          <w:sz w:val="32"/>
          <w:szCs w:val="32"/>
        </w:rPr>
      </w:pPr>
      <w:r>
        <w:rPr>
          <w:rFonts w:ascii="楷体" w:eastAsia="楷体" w:hAnsi="楷体" w:hint="eastAsia"/>
          <w:b/>
          <w:sz w:val="32"/>
          <w:szCs w:val="32"/>
        </w:rPr>
        <w:t>一、部门职责</w:t>
      </w:r>
    </w:p>
    <w:p w:rsidR="00366504" w:rsidRDefault="00EE11D1">
      <w:pPr>
        <w:ind w:firstLineChars="200" w:firstLine="640"/>
        <w:rPr>
          <w:rFonts w:ascii="仿宋" w:eastAsia="仿宋" w:hAnsi="仿宋"/>
          <w:sz w:val="32"/>
          <w:szCs w:val="32"/>
        </w:rPr>
      </w:pPr>
      <w:r>
        <w:rPr>
          <w:rFonts w:ascii="仿宋" w:eastAsia="仿宋" w:hAnsi="仿宋" w:hint="eastAsia"/>
          <w:sz w:val="32"/>
          <w:szCs w:val="32"/>
        </w:rPr>
        <w:t>（一）维护国家安全和社会稳定</w:t>
      </w:r>
    </w:p>
    <w:p w:rsidR="00366504" w:rsidRDefault="00EE11D1">
      <w:pPr>
        <w:ind w:firstLineChars="200" w:firstLine="640"/>
        <w:rPr>
          <w:rFonts w:ascii="仿宋" w:eastAsia="仿宋" w:hAnsi="仿宋"/>
          <w:sz w:val="32"/>
          <w:szCs w:val="32"/>
        </w:rPr>
      </w:pPr>
      <w:r>
        <w:rPr>
          <w:rFonts w:ascii="仿宋" w:eastAsia="仿宋" w:hAnsi="仿宋" w:hint="eastAsia"/>
          <w:sz w:val="32"/>
          <w:szCs w:val="32"/>
        </w:rPr>
        <w:t>（二）打击防范违法犯罪</w:t>
      </w:r>
    </w:p>
    <w:p w:rsidR="00366504" w:rsidRDefault="00EE11D1">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、大要案侦查。</w:t>
      </w:r>
    </w:p>
    <w:p w:rsidR="00366504" w:rsidRDefault="00EE11D1">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、有组织犯罪侦查。</w:t>
      </w:r>
    </w:p>
    <w:p w:rsidR="00366504" w:rsidRDefault="00EE11D1">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、专项犯罪侦查。</w:t>
      </w:r>
    </w:p>
    <w:p w:rsidR="00366504" w:rsidRDefault="00EE11D1">
      <w:pPr>
        <w:ind w:firstLineChars="200" w:firstLine="640"/>
        <w:rPr>
          <w:rFonts w:ascii="仿宋" w:eastAsia="仿宋" w:hAnsi="仿宋"/>
          <w:sz w:val="32"/>
          <w:szCs w:val="32"/>
        </w:rPr>
      </w:pPr>
      <w:r>
        <w:rPr>
          <w:rFonts w:ascii="仿宋" w:eastAsia="仿宋" w:hAnsi="仿宋" w:hint="eastAsia"/>
          <w:sz w:val="32"/>
          <w:szCs w:val="32"/>
        </w:rPr>
        <w:t>（三）社会面管控</w:t>
      </w:r>
    </w:p>
    <w:p w:rsidR="00366504" w:rsidRDefault="00EE11D1">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、巡逻防控。</w:t>
      </w:r>
    </w:p>
    <w:p w:rsidR="00366504" w:rsidRDefault="00EE11D1">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、人口及户籍管理。</w:t>
      </w:r>
    </w:p>
    <w:p w:rsidR="00366504" w:rsidRDefault="00EE11D1">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、治安管理。</w:t>
      </w:r>
    </w:p>
    <w:p w:rsidR="00366504" w:rsidRDefault="00EE11D1">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、出入境及外国人管理。</w:t>
      </w:r>
    </w:p>
    <w:p w:rsidR="00366504" w:rsidRDefault="00EE11D1">
      <w:pPr>
        <w:ind w:firstLineChars="200" w:firstLine="640"/>
        <w:rPr>
          <w:rFonts w:ascii="仿宋" w:eastAsia="仿宋" w:hAnsi="仿宋"/>
          <w:sz w:val="32"/>
          <w:szCs w:val="32"/>
        </w:rPr>
      </w:pPr>
      <w:r>
        <w:rPr>
          <w:rFonts w:ascii="仿宋" w:eastAsia="仿宋" w:hAnsi="仿宋" w:hint="eastAsia"/>
          <w:sz w:val="32"/>
          <w:szCs w:val="32"/>
        </w:rPr>
        <w:t>（四）羁押监管</w:t>
      </w:r>
    </w:p>
    <w:p w:rsidR="00366504" w:rsidRDefault="00EE11D1">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、羁押监管。</w:t>
      </w:r>
    </w:p>
    <w:p w:rsidR="00366504" w:rsidRDefault="00EE11D1">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、看守所。</w:t>
      </w:r>
    </w:p>
    <w:p w:rsidR="00366504" w:rsidRDefault="00EE11D1">
      <w:pPr>
        <w:ind w:firstLineChars="200" w:firstLine="640"/>
        <w:rPr>
          <w:rFonts w:ascii="仿宋" w:eastAsia="仿宋" w:hAnsi="仿宋"/>
          <w:sz w:val="32"/>
          <w:szCs w:val="32"/>
        </w:rPr>
      </w:pPr>
      <w:r>
        <w:rPr>
          <w:rFonts w:ascii="仿宋" w:eastAsia="仿宋" w:hAnsi="仿宋" w:hint="eastAsia"/>
          <w:sz w:val="32"/>
          <w:szCs w:val="32"/>
        </w:rPr>
        <w:t>（五）公安科学技术建设</w:t>
      </w:r>
    </w:p>
    <w:p w:rsidR="00366504" w:rsidRDefault="00EE11D1">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、公安信息化建设。</w:t>
      </w:r>
    </w:p>
    <w:p w:rsidR="00366504" w:rsidRDefault="00EE11D1">
      <w:pPr>
        <w:ind w:firstLineChars="200" w:firstLine="640"/>
        <w:rPr>
          <w:rFonts w:ascii="仿宋" w:eastAsia="仿宋" w:hAnsi="仿宋"/>
          <w:sz w:val="32"/>
          <w:szCs w:val="32"/>
        </w:rPr>
      </w:pPr>
      <w:r>
        <w:rPr>
          <w:rFonts w:ascii="仿宋" w:eastAsia="仿宋" w:hAnsi="仿宋" w:hint="eastAsia"/>
          <w:sz w:val="32"/>
          <w:szCs w:val="32"/>
        </w:rPr>
        <w:t>（六）推进环京护城河建设</w:t>
      </w:r>
    </w:p>
    <w:p w:rsidR="00366504" w:rsidRDefault="00EE11D1">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、司法救助。</w:t>
      </w:r>
    </w:p>
    <w:p w:rsidR="00366504" w:rsidRDefault="00EE11D1">
      <w:pPr>
        <w:ind w:firstLineChars="200" w:firstLine="640"/>
        <w:rPr>
          <w:rFonts w:ascii="仿宋" w:eastAsia="仿宋" w:hAnsi="仿宋"/>
          <w:sz w:val="32"/>
          <w:szCs w:val="32"/>
        </w:rPr>
      </w:pPr>
      <w:r>
        <w:rPr>
          <w:rFonts w:ascii="仿宋" w:eastAsia="仿宋" w:hAnsi="仿宋" w:hint="eastAsia"/>
          <w:sz w:val="32"/>
          <w:szCs w:val="32"/>
        </w:rPr>
        <w:t>（七）道路交通管理</w:t>
      </w:r>
    </w:p>
    <w:p w:rsidR="00366504" w:rsidRDefault="00EE11D1">
      <w:pPr>
        <w:ind w:firstLineChars="200" w:firstLine="640"/>
        <w:rPr>
          <w:rFonts w:ascii="仿宋" w:eastAsia="仿宋" w:hAnsi="仿宋"/>
          <w:sz w:val="32"/>
          <w:szCs w:val="32"/>
        </w:rPr>
      </w:pPr>
      <w:r>
        <w:rPr>
          <w:rFonts w:ascii="仿宋" w:eastAsia="仿宋" w:hAnsi="仿宋" w:hint="eastAsia"/>
          <w:sz w:val="32"/>
          <w:szCs w:val="32"/>
        </w:rPr>
        <w:t>道路交通管理。</w:t>
      </w:r>
    </w:p>
    <w:p w:rsidR="00366504" w:rsidRDefault="00EE11D1">
      <w:pPr>
        <w:ind w:firstLineChars="200" w:firstLine="640"/>
        <w:rPr>
          <w:rFonts w:ascii="仿宋" w:eastAsia="仿宋" w:hAnsi="仿宋"/>
          <w:sz w:val="32"/>
          <w:szCs w:val="32"/>
        </w:rPr>
      </w:pPr>
      <w:r>
        <w:rPr>
          <w:rFonts w:ascii="仿宋" w:eastAsia="仿宋" w:hAnsi="仿宋" w:hint="eastAsia"/>
          <w:sz w:val="32"/>
          <w:szCs w:val="32"/>
        </w:rPr>
        <w:t>（八）公安政务管理</w:t>
      </w:r>
    </w:p>
    <w:p w:rsidR="00366504" w:rsidRDefault="00EE11D1">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、综合业务管理。</w:t>
      </w:r>
    </w:p>
    <w:p w:rsidR="00366504" w:rsidRDefault="00EE11D1">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、综合事务管理。</w:t>
      </w:r>
    </w:p>
    <w:p w:rsidR="00366504" w:rsidRDefault="00EE11D1">
      <w:pPr>
        <w:ind w:firstLineChars="200" w:firstLine="640"/>
        <w:rPr>
          <w:rFonts w:ascii="仿宋" w:eastAsia="仿宋" w:hAnsi="仿宋"/>
          <w:sz w:val="32"/>
          <w:szCs w:val="32"/>
        </w:rPr>
      </w:pPr>
      <w:r>
        <w:rPr>
          <w:rFonts w:ascii="仿宋" w:eastAsia="仿宋" w:hAnsi="仿宋"/>
          <w:sz w:val="32"/>
          <w:szCs w:val="32"/>
        </w:rPr>
        <w:lastRenderedPageBreak/>
        <w:t>3</w:t>
      </w:r>
      <w:r>
        <w:rPr>
          <w:rFonts w:ascii="仿宋" w:eastAsia="仿宋" w:hAnsi="仿宋" w:hint="eastAsia"/>
          <w:sz w:val="32"/>
          <w:szCs w:val="32"/>
        </w:rPr>
        <w:t>、综合业务管理。</w:t>
      </w:r>
    </w:p>
    <w:p w:rsidR="00366504" w:rsidRDefault="00EE11D1">
      <w:pPr>
        <w:ind w:firstLineChars="200" w:firstLine="643"/>
        <w:rPr>
          <w:rFonts w:ascii="楷体" w:eastAsia="楷体" w:hAnsi="楷体"/>
          <w:b/>
          <w:sz w:val="32"/>
          <w:szCs w:val="32"/>
        </w:rPr>
      </w:pPr>
      <w:r>
        <w:rPr>
          <w:rFonts w:ascii="楷体" w:eastAsia="楷体" w:hAnsi="楷体" w:hint="eastAsia"/>
          <w:b/>
          <w:sz w:val="32"/>
          <w:szCs w:val="32"/>
        </w:rPr>
        <w:t>二、机构设置情况</w:t>
      </w:r>
    </w:p>
    <w:tbl>
      <w:tblPr>
        <w:tblW w:w="10620" w:type="dxa"/>
        <w:jc w:val="center"/>
        <w:tblLook w:val="04A0" w:firstRow="1" w:lastRow="0" w:firstColumn="1" w:lastColumn="0" w:noHBand="0" w:noVBand="1"/>
      </w:tblPr>
      <w:tblGrid>
        <w:gridCol w:w="700"/>
        <w:gridCol w:w="2480"/>
        <w:gridCol w:w="2480"/>
        <w:gridCol w:w="2480"/>
        <w:gridCol w:w="2480"/>
      </w:tblGrid>
      <w:tr w:rsidR="00366504">
        <w:trPr>
          <w:trHeight w:val="418"/>
          <w:jc w:val="center"/>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序号</w:t>
            </w:r>
          </w:p>
        </w:tc>
        <w:tc>
          <w:tcPr>
            <w:tcW w:w="2480" w:type="dxa"/>
            <w:vMerge w:val="restart"/>
            <w:tcBorders>
              <w:top w:val="single" w:sz="4" w:space="0" w:color="auto"/>
              <w:left w:val="single" w:sz="4" w:space="0" w:color="auto"/>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单位名称</w:t>
            </w:r>
          </w:p>
        </w:tc>
        <w:tc>
          <w:tcPr>
            <w:tcW w:w="2480" w:type="dxa"/>
            <w:vMerge w:val="restart"/>
            <w:tcBorders>
              <w:top w:val="single" w:sz="4" w:space="0" w:color="auto"/>
              <w:left w:val="single" w:sz="4" w:space="0" w:color="auto"/>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单位性质</w:t>
            </w:r>
          </w:p>
        </w:tc>
        <w:tc>
          <w:tcPr>
            <w:tcW w:w="2480" w:type="dxa"/>
            <w:vMerge w:val="restart"/>
            <w:tcBorders>
              <w:top w:val="single" w:sz="4" w:space="0" w:color="auto"/>
              <w:left w:val="single" w:sz="4" w:space="0" w:color="auto"/>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单位规格</w:t>
            </w:r>
          </w:p>
        </w:tc>
        <w:tc>
          <w:tcPr>
            <w:tcW w:w="2480" w:type="dxa"/>
            <w:vMerge w:val="restart"/>
            <w:tcBorders>
              <w:top w:val="single" w:sz="4" w:space="0" w:color="auto"/>
              <w:left w:val="single" w:sz="4" w:space="0" w:color="auto"/>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经费保障形式</w:t>
            </w:r>
          </w:p>
        </w:tc>
      </w:tr>
      <w:tr w:rsidR="00366504">
        <w:trPr>
          <w:trHeight w:val="418"/>
          <w:jc w:val="center"/>
        </w:trPr>
        <w:tc>
          <w:tcPr>
            <w:tcW w:w="700" w:type="dxa"/>
            <w:vMerge/>
            <w:tcBorders>
              <w:top w:val="single" w:sz="4" w:space="0" w:color="auto"/>
              <w:left w:val="single" w:sz="4" w:space="0" w:color="auto"/>
              <w:bottom w:val="single" w:sz="4" w:space="0" w:color="auto"/>
              <w:right w:val="single" w:sz="4" w:space="0" w:color="auto"/>
            </w:tcBorders>
            <w:vAlign w:val="center"/>
          </w:tcPr>
          <w:p w:rsidR="00366504" w:rsidRDefault="00366504">
            <w:pPr>
              <w:widowControl/>
              <w:jc w:val="left"/>
              <w:rPr>
                <w:rFonts w:ascii="仿宋_GB2312" w:eastAsia="仿宋_GB2312" w:hAnsi="宋体" w:cs="宋体"/>
                <w:color w:val="000000"/>
                <w:kern w:val="0"/>
                <w:sz w:val="24"/>
                <w:szCs w:val="24"/>
              </w:rPr>
            </w:pPr>
          </w:p>
        </w:tc>
        <w:tc>
          <w:tcPr>
            <w:tcW w:w="2480" w:type="dxa"/>
            <w:vMerge/>
            <w:tcBorders>
              <w:top w:val="single" w:sz="4" w:space="0" w:color="auto"/>
              <w:left w:val="single" w:sz="4" w:space="0" w:color="auto"/>
              <w:bottom w:val="single" w:sz="4" w:space="0" w:color="auto"/>
              <w:right w:val="single" w:sz="4" w:space="0" w:color="auto"/>
            </w:tcBorders>
            <w:vAlign w:val="center"/>
          </w:tcPr>
          <w:p w:rsidR="00366504" w:rsidRDefault="00366504">
            <w:pPr>
              <w:widowControl/>
              <w:jc w:val="left"/>
              <w:rPr>
                <w:rFonts w:ascii="仿宋_GB2312" w:eastAsia="仿宋_GB2312" w:hAnsi="宋体" w:cs="宋体"/>
                <w:color w:val="000000"/>
                <w:kern w:val="0"/>
                <w:sz w:val="24"/>
                <w:szCs w:val="24"/>
              </w:rPr>
            </w:pPr>
          </w:p>
        </w:tc>
        <w:tc>
          <w:tcPr>
            <w:tcW w:w="2480" w:type="dxa"/>
            <w:vMerge/>
            <w:tcBorders>
              <w:top w:val="single" w:sz="4" w:space="0" w:color="auto"/>
              <w:left w:val="single" w:sz="4" w:space="0" w:color="auto"/>
              <w:bottom w:val="single" w:sz="4" w:space="0" w:color="auto"/>
              <w:right w:val="single" w:sz="4" w:space="0" w:color="auto"/>
            </w:tcBorders>
            <w:vAlign w:val="center"/>
          </w:tcPr>
          <w:p w:rsidR="00366504" w:rsidRDefault="00366504">
            <w:pPr>
              <w:widowControl/>
              <w:jc w:val="left"/>
              <w:rPr>
                <w:rFonts w:ascii="仿宋_GB2312" w:eastAsia="仿宋_GB2312" w:hAnsi="宋体" w:cs="宋体"/>
                <w:color w:val="000000"/>
                <w:kern w:val="0"/>
                <w:sz w:val="24"/>
                <w:szCs w:val="24"/>
              </w:rPr>
            </w:pPr>
          </w:p>
        </w:tc>
        <w:tc>
          <w:tcPr>
            <w:tcW w:w="2480" w:type="dxa"/>
            <w:vMerge/>
            <w:tcBorders>
              <w:top w:val="single" w:sz="4" w:space="0" w:color="auto"/>
              <w:left w:val="single" w:sz="4" w:space="0" w:color="auto"/>
              <w:bottom w:val="single" w:sz="4" w:space="0" w:color="auto"/>
              <w:right w:val="single" w:sz="4" w:space="0" w:color="auto"/>
            </w:tcBorders>
            <w:vAlign w:val="center"/>
          </w:tcPr>
          <w:p w:rsidR="00366504" w:rsidRDefault="00366504">
            <w:pPr>
              <w:widowControl/>
              <w:jc w:val="left"/>
              <w:rPr>
                <w:rFonts w:ascii="仿宋_GB2312" w:eastAsia="仿宋_GB2312" w:hAnsi="宋体" w:cs="宋体"/>
                <w:color w:val="000000"/>
                <w:kern w:val="0"/>
                <w:sz w:val="24"/>
                <w:szCs w:val="24"/>
              </w:rPr>
            </w:pPr>
          </w:p>
        </w:tc>
        <w:tc>
          <w:tcPr>
            <w:tcW w:w="2480" w:type="dxa"/>
            <w:vMerge/>
            <w:tcBorders>
              <w:top w:val="single" w:sz="4" w:space="0" w:color="auto"/>
              <w:left w:val="single" w:sz="4" w:space="0" w:color="auto"/>
              <w:bottom w:val="single" w:sz="4" w:space="0" w:color="auto"/>
              <w:right w:val="single" w:sz="4" w:space="0" w:color="auto"/>
            </w:tcBorders>
            <w:vAlign w:val="center"/>
          </w:tcPr>
          <w:p w:rsidR="00366504" w:rsidRDefault="00366504">
            <w:pPr>
              <w:widowControl/>
              <w:jc w:val="left"/>
              <w:rPr>
                <w:rFonts w:ascii="仿宋_GB2312" w:eastAsia="仿宋_GB2312" w:hAnsi="宋体" w:cs="宋体"/>
                <w:color w:val="000000"/>
                <w:kern w:val="0"/>
                <w:sz w:val="24"/>
                <w:szCs w:val="24"/>
              </w:rPr>
            </w:pPr>
          </w:p>
        </w:tc>
      </w:tr>
      <w:tr w:rsidR="00366504">
        <w:trPr>
          <w:trHeight w:val="405"/>
          <w:jc w:val="center"/>
        </w:trPr>
        <w:tc>
          <w:tcPr>
            <w:tcW w:w="700" w:type="dxa"/>
            <w:tcBorders>
              <w:top w:val="nil"/>
              <w:left w:val="single" w:sz="4" w:space="0" w:color="auto"/>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1</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保定市公安局</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正处级</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366504">
        <w:trPr>
          <w:trHeight w:val="285"/>
          <w:jc w:val="center"/>
        </w:trPr>
        <w:tc>
          <w:tcPr>
            <w:tcW w:w="700" w:type="dxa"/>
            <w:tcBorders>
              <w:top w:val="nil"/>
              <w:left w:val="single" w:sz="4" w:space="0" w:color="auto"/>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2</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莲池区分局</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正科级</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366504">
        <w:trPr>
          <w:trHeight w:val="285"/>
          <w:jc w:val="center"/>
        </w:trPr>
        <w:tc>
          <w:tcPr>
            <w:tcW w:w="700" w:type="dxa"/>
            <w:tcBorders>
              <w:top w:val="nil"/>
              <w:left w:val="single" w:sz="4" w:space="0" w:color="auto"/>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3</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proofErr w:type="gramStart"/>
            <w:r>
              <w:rPr>
                <w:rFonts w:ascii="仿宋_GB2312" w:eastAsia="仿宋_GB2312" w:hAnsi="宋体" w:cs="宋体" w:hint="eastAsia"/>
                <w:color w:val="000000"/>
                <w:kern w:val="0"/>
                <w:sz w:val="24"/>
                <w:szCs w:val="24"/>
              </w:rPr>
              <w:t>竞秀区</w:t>
            </w:r>
            <w:proofErr w:type="gramEnd"/>
            <w:r>
              <w:rPr>
                <w:rFonts w:ascii="仿宋_GB2312" w:eastAsia="仿宋_GB2312" w:hAnsi="宋体" w:cs="宋体" w:hint="eastAsia"/>
                <w:color w:val="000000"/>
                <w:kern w:val="0"/>
                <w:sz w:val="24"/>
                <w:szCs w:val="24"/>
              </w:rPr>
              <w:t>分局</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正科级</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366504">
        <w:trPr>
          <w:trHeight w:val="285"/>
          <w:jc w:val="center"/>
        </w:trPr>
        <w:tc>
          <w:tcPr>
            <w:tcW w:w="700" w:type="dxa"/>
            <w:tcBorders>
              <w:top w:val="nil"/>
              <w:left w:val="single" w:sz="4" w:space="0" w:color="auto"/>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4</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公交治安分局</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正科级</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366504">
        <w:trPr>
          <w:trHeight w:val="285"/>
          <w:jc w:val="center"/>
        </w:trPr>
        <w:tc>
          <w:tcPr>
            <w:tcW w:w="700" w:type="dxa"/>
            <w:tcBorders>
              <w:top w:val="nil"/>
              <w:left w:val="single" w:sz="4" w:space="0" w:color="auto"/>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5</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交通警察支队</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正科级</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366504">
        <w:trPr>
          <w:trHeight w:val="570"/>
          <w:jc w:val="center"/>
        </w:trPr>
        <w:tc>
          <w:tcPr>
            <w:tcW w:w="700" w:type="dxa"/>
            <w:tcBorders>
              <w:top w:val="nil"/>
              <w:left w:val="single" w:sz="4" w:space="0" w:color="auto"/>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6</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高新技术产业开发区分局</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正科级</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366504">
        <w:trPr>
          <w:trHeight w:val="285"/>
          <w:jc w:val="center"/>
        </w:trPr>
        <w:tc>
          <w:tcPr>
            <w:tcW w:w="700" w:type="dxa"/>
            <w:tcBorders>
              <w:top w:val="nil"/>
              <w:left w:val="single" w:sz="4" w:space="0" w:color="auto"/>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7</w:t>
            </w:r>
          </w:p>
        </w:tc>
        <w:tc>
          <w:tcPr>
            <w:tcW w:w="2480" w:type="dxa"/>
            <w:tcBorders>
              <w:top w:val="nil"/>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巡警特警支队</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副处级</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366504">
        <w:trPr>
          <w:trHeight w:val="285"/>
          <w:jc w:val="center"/>
        </w:trPr>
        <w:tc>
          <w:tcPr>
            <w:tcW w:w="700" w:type="dxa"/>
            <w:tcBorders>
              <w:top w:val="nil"/>
              <w:left w:val="single" w:sz="4" w:space="0" w:color="auto"/>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8</w:t>
            </w:r>
          </w:p>
        </w:tc>
        <w:tc>
          <w:tcPr>
            <w:tcW w:w="2480" w:type="dxa"/>
            <w:tcBorders>
              <w:top w:val="nil"/>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看守所</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正科级</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366504">
        <w:trPr>
          <w:trHeight w:val="285"/>
          <w:jc w:val="center"/>
        </w:trPr>
        <w:tc>
          <w:tcPr>
            <w:tcW w:w="700" w:type="dxa"/>
            <w:tcBorders>
              <w:top w:val="nil"/>
              <w:left w:val="single" w:sz="4" w:space="0" w:color="auto"/>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9</w:t>
            </w:r>
          </w:p>
        </w:tc>
        <w:tc>
          <w:tcPr>
            <w:tcW w:w="2480" w:type="dxa"/>
            <w:tcBorders>
              <w:top w:val="nil"/>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警察培训中心</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正科级</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366504">
        <w:trPr>
          <w:trHeight w:val="285"/>
          <w:jc w:val="center"/>
        </w:trPr>
        <w:tc>
          <w:tcPr>
            <w:tcW w:w="700" w:type="dxa"/>
            <w:tcBorders>
              <w:top w:val="nil"/>
              <w:left w:val="single" w:sz="4" w:space="0" w:color="auto"/>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10</w:t>
            </w:r>
          </w:p>
        </w:tc>
        <w:tc>
          <w:tcPr>
            <w:tcW w:w="2480" w:type="dxa"/>
            <w:tcBorders>
              <w:top w:val="nil"/>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西大洋治安分局</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正科级</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366504">
        <w:trPr>
          <w:trHeight w:val="285"/>
          <w:jc w:val="center"/>
        </w:trPr>
        <w:tc>
          <w:tcPr>
            <w:tcW w:w="700" w:type="dxa"/>
            <w:tcBorders>
              <w:top w:val="nil"/>
              <w:left w:val="single" w:sz="4" w:space="0" w:color="auto"/>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11</w:t>
            </w:r>
          </w:p>
        </w:tc>
        <w:tc>
          <w:tcPr>
            <w:tcW w:w="2480" w:type="dxa"/>
            <w:tcBorders>
              <w:top w:val="nil"/>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刑事侦查支队</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正科级</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r w:rsidR="00366504">
        <w:trPr>
          <w:trHeight w:val="285"/>
          <w:jc w:val="center"/>
        </w:trPr>
        <w:tc>
          <w:tcPr>
            <w:tcW w:w="700" w:type="dxa"/>
            <w:tcBorders>
              <w:top w:val="nil"/>
              <w:left w:val="single" w:sz="4" w:space="0" w:color="auto"/>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12</w:t>
            </w:r>
          </w:p>
        </w:tc>
        <w:tc>
          <w:tcPr>
            <w:tcW w:w="2480" w:type="dxa"/>
            <w:tcBorders>
              <w:top w:val="nil"/>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白沟·白洋淀温泉城分局</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行政</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副处级</w:t>
            </w:r>
          </w:p>
        </w:tc>
        <w:tc>
          <w:tcPr>
            <w:tcW w:w="2480" w:type="dxa"/>
            <w:tcBorders>
              <w:top w:val="nil"/>
              <w:left w:val="nil"/>
              <w:bottom w:val="single" w:sz="4" w:space="0" w:color="auto"/>
              <w:right w:val="single" w:sz="4" w:space="0" w:color="auto"/>
            </w:tcBorders>
            <w:vAlign w:val="center"/>
          </w:tcPr>
          <w:p w:rsidR="00366504" w:rsidRDefault="00EE11D1">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财政拨款</w:t>
            </w:r>
          </w:p>
        </w:tc>
      </w:tr>
    </w:tbl>
    <w:p w:rsidR="00366504" w:rsidRDefault="00366504">
      <w:pPr>
        <w:spacing w:line="520" w:lineRule="exact"/>
        <w:ind w:left="1712"/>
        <w:jc w:val="center"/>
        <w:rPr>
          <w:rFonts w:ascii="黑体" w:eastAsia="黑体" w:hAnsi="黑体"/>
          <w:sz w:val="32"/>
          <w:szCs w:val="32"/>
        </w:rPr>
      </w:pPr>
    </w:p>
    <w:p w:rsidR="00366504" w:rsidRDefault="00EE11D1">
      <w:pPr>
        <w:spacing w:line="520" w:lineRule="exact"/>
        <w:jc w:val="center"/>
        <w:rPr>
          <w:rFonts w:ascii="黑体" w:eastAsia="黑体" w:hAnsi="黑体"/>
          <w:sz w:val="32"/>
          <w:szCs w:val="32"/>
        </w:rPr>
      </w:pPr>
      <w:r>
        <w:rPr>
          <w:rFonts w:ascii="黑体" w:eastAsia="黑体" w:hAnsi="黑体" w:hint="eastAsia"/>
          <w:sz w:val="32"/>
          <w:szCs w:val="32"/>
        </w:rPr>
        <w:t>第二部分：部门决算收入支出情况</w:t>
      </w:r>
    </w:p>
    <w:p w:rsidR="00366504" w:rsidRDefault="00366504">
      <w:pPr>
        <w:spacing w:line="520" w:lineRule="exact"/>
        <w:jc w:val="center"/>
        <w:rPr>
          <w:rFonts w:ascii="黑体" w:eastAsia="黑体" w:hAnsi="黑体"/>
          <w:sz w:val="32"/>
          <w:szCs w:val="32"/>
        </w:rPr>
      </w:pPr>
    </w:p>
    <w:p w:rsidR="00366504" w:rsidRDefault="00EE11D1">
      <w:pPr>
        <w:spacing w:line="500" w:lineRule="exact"/>
        <w:ind w:firstLineChars="200" w:firstLine="640"/>
        <w:jc w:val="left"/>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、收入支出决算总体情况说明。</w:t>
      </w:r>
      <w:proofErr w:type="gramStart"/>
      <w:r>
        <w:rPr>
          <w:rFonts w:ascii="仿宋_GB2312" w:eastAsia="仿宋_GB2312" w:hint="eastAsia"/>
          <w:sz w:val="32"/>
          <w:szCs w:val="32"/>
        </w:rPr>
        <w:t>我部门</w:t>
      </w:r>
      <w:proofErr w:type="gramEnd"/>
      <w:r>
        <w:rPr>
          <w:rFonts w:ascii="仿宋_GB2312" w:eastAsia="仿宋_GB2312"/>
          <w:sz w:val="32"/>
          <w:szCs w:val="32"/>
        </w:rPr>
        <w:t>2017</w:t>
      </w:r>
      <w:r>
        <w:rPr>
          <w:rFonts w:ascii="仿宋_GB2312" w:eastAsia="仿宋_GB2312" w:hint="eastAsia"/>
          <w:sz w:val="32"/>
          <w:szCs w:val="32"/>
        </w:rPr>
        <w:t>年度年末结转结余</w:t>
      </w:r>
      <w:r>
        <w:rPr>
          <w:rFonts w:ascii="仿宋_GB2312" w:eastAsia="仿宋_GB2312"/>
          <w:sz w:val="32"/>
          <w:szCs w:val="32"/>
        </w:rPr>
        <w:t>2.26</w:t>
      </w:r>
      <w:r>
        <w:rPr>
          <w:rFonts w:ascii="仿宋_GB2312" w:eastAsia="仿宋_GB2312" w:hint="eastAsia"/>
          <w:sz w:val="32"/>
          <w:szCs w:val="32"/>
        </w:rPr>
        <w:t>亿元，本年收入</w:t>
      </w:r>
      <w:r>
        <w:rPr>
          <w:rFonts w:ascii="仿宋_GB2312" w:eastAsia="仿宋_GB2312"/>
          <w:sz w:val="32"/>
          <w:szCs w:val="32"/>
        </w:rPr>
        <w:t>7.37</w:t>
      </w:r>
      <w:r>
        <w:rPr>
          <w:rFonts w:ascii="仿宋_GB2312" w:eastAsia="仿宋_GB2312" w:hint="eastAsia"/>
          <w:sz w:val="32"/>
          <w:szCs w:val="32"/>
        </w:rPr>
        <w:t>亿元。</w:t>
      </w:r>
      <w:r>
        <w:rPr>
          <w:rFonts w:ascii="仿宋_GB2312" w:eastAsia="仿宋_GB2312"/>
          <w:sz w:val="32"/>
          <w:szCs w:val="32"/>
        </w:rPr>
        <w:t>2016</w:t>
      </w:r>
      <w:r>
        <w:rPr>
          <w:rFonts w:ascii="仿宋_GB2312" w:eastAsia="仿宋_GB2312" w:hint="eastAsia"/>
          <w:sz w:val="32"/>
          <w:szCs w:val="32"/>
        </w:rPr>
        <w:t>年度年末结转结余</w:t>
      </w:r>
      <w:r>
        <w:rPr>
          <w:rFonts w:ascii="仿宋_GB2312" w:eastAsia="仿宋_GB2312"/>
          <w:sz w:val="32"/>
          <w:szCs w:val="32"/>
        </w:rPr>
        <w:t>1.8</w:t>
      </w:r>
      <w:r>
        <w:rPr>
          <w:rFonts w:ascii="仿宋_GB2312" w:eastAsia="仿宋_GB2312" w:hint="eastAsia"/>
          <w:sz w:val="32"/>
          <w:szCs w:val="32"/>
        </w:rPr>
        <w:t>亿元，收入</w:t>
      </w:r>
      <w:r>
        <w:rPr>
          <w:rFonts w:ascii="仿宋_GB2312" w:eastAsia="仿宋_GB2312"/>
          <w:sz w:val="32"/>
          <w:szCs w:val="32"/>
        </w:rPr>
        <w:t>7.45</w:t>
      </w:r>
      <w:r>
        <w:rPr>
          <w:rFonts w:ascii="仿宋_GB2312" w:eastAsia="仿宋_GB2312" w:hint="eastAsia"/>
          <w:sz w:val="32"/>
          <w:szCs w:val="32"/>
        </w:rPr>
        <w:t>亿元。收入相比上年度减少</w:t>
      </w:r>
      <w:r>
        <w:rPr>
          <w:rFonts w:ascii="仿宋_GB2312" w:eastAsia="仿宋_GB2312"/>
          <w:sz w:val="32"/>
          <w:szCs w:val="32"/>
        </w:rPr>
        <w:t>0.08</w:t>
      </w:r>
      <w:r>
        <w:rPr>
          <w:rFonts w:ascii="仿宋_GB2312" w:eastAsia="仿宋_GB2312" w:hint="eastAsia"/>
          <w:sz w:val="32"/>
          <w:szCs w:val="32"/>
        </w:rPr>
        <w:t>亿元，部门预算情况与上年度相比有所减少，主要是退休人员划归社保所管理。</w:t>
      </w:r>
      <w:proofErr w:type="gramStart"/>
      <w:r>
        <w:rPr>
          <w:rFonts w:ascii="仿宋_GB2312" w:eastAsia="仿宋_GB2312" w:hint="eastAsia"/>
          <w:sz w:val="32"/>
          <w:szCs w:val="32"/>
        </w:rPr>
        <w:t>我部门</w:t>
      </w:r>
      <w:proofErr w:type="gramEnd"/>
      <w:r>
        <w:rPr>
          <w:rFonts w:ascii="仿宋_GB2312" w:eastAsia="仿宋_GB2312"/>
          <w:sz w:val="32"/>
          <w:szCs w:val="32"/>
        </w:rPr>
        <w:t>2017</w:t>
      </w:r>
      <w:r>
        <w:rPr>
          <w:rFonts w:ascii="仿宋_GB2312" w:eastAsia="仿宋_GB2312" w:hint="eastAsia"/>
          <w:sz w:val="32"/>
          <w:szCs w:val="32"/>
        </w:rPr>
        <w:t>年度经费支出</w:t>
      </w:r>
      <w:r>
        <w:rPr>
          <w:rFonts w:ascii="仿宋_GB2312" w:eastAsia="仿宋_GB2312"/>
          <w:sz w:val="32"/>
          <w:szCs w:val="32"/>
        </w:rPr>
        <w:t>6.92</w:t>
      </w:r>
      <w:r>
        <w:rPr>
          <w:rFonts w:ascii="仿宋_GB2312" w:eastAsia="仿宋_GB2312" w:hint="eastAsia"/>
          <w:sz w:val="32"/>
          <w:szCs w:val="32"/>
        </w:rPr>
        <w:t>亿元，</w:t>
      </w:r>
      <w:r>
        <w:rPr>
          <w:rFonts w:ascii="仿宋_GB2312" w:eastAsia="仿宋_GB2312"/>
          <w:sz w:val="32"/>
          <w:szCs w:val="32"/>
        </w:rPr>
        <w:t>2016</w:t>
      </w:r>
      <w:r>
        <w:rPr>
          <w:rFonts w:ascii="仿宋_GB2312" w:eastAsia="仿宋_GB2312" w:hint="eastAsia"/>
          <w:sz w:val="32"/>
          <w:szCs w:val="32"/>
        </w:rPr>
        <w:t>年度经费支出</w:t>
      </w:r>
      <w:r>
        <w:rPr>
          <w:rFonts w:ascii="仿宋_GB2312" w:eastAsia="仿宋_GB2312"/>
          <w:sz w:val="32"/>
          <w:szCs w:val="32"/>
        </w:rPr>
        <w:t>7.09</w:t>
      </w:r>
      <w:r>
        <w:rPr>
          <w:rFonts w:ascii="仿宋_GB2312" w:eastAsia="仿宋_GB2312" w:hint="eastAsia"/>
          <w:sz w:val="32"/>
          <w:szCs w:val="32"/>
        </w:rPr>
        <w:t>亿元，支出经费减少</w:t>
      </w:r>
      <w:r>
        <w:rPr>
          <w:rFonts w:ascii="仿宋_GB2312" w:eastAsia="仿宋_GB2312"/>
          <w:sz w:val="32"/>
          <w:szCs w:val="32"/>
        </w:rPr>
        <w:t>0.17</w:t>
      </w:r>
      <w:r>
        <w:rPr>
          <w:rFonts w:ascii="仿宋_GB2312" w:eastAsia="仿宋_GB2312" w:hint="eastAsia"/>
          <w:sz w:val="32"/>
          <w:szCs w:val="32"/>
        </w:rPr>
        <w:t>亿元，主要是退休人员划归社保所管理。本年度能够严格按照年初部门预算和调整追加预算执行，为编制执行</w:t>
      </w:r>
      <w:r>
        <w:rPr>
          <w:rFonts w:ascii="仿宋_GB2312" w:eastAsia="仿宋_GB2312"/>
          <w:sz w:val="32"/>
          <w:szCs w:val="32"/>
        </w:rPr>
        <w:t>2018</w:t>
      </w:r>
      <w:r>
        <w:rPr>
          <w:rFonts w:ascii="仿宋_GB2312" w:eastAsia="仿宋_GB2312" w:hint="eastAsia"/>
          <w:sz w:val="32"/>
          <w:szCs w:val="32"/>
        </w:rPr>
        <w:t>年度决算打下良好的基础。</w:t>
      </w:r>
    </w:p>
    <w:p w:rsidR="00366504" w:rsidRDefault="00EE11D1">
      <w:pPr>
        <w:spacing w:line="500" w:lineRule="exact"/>
        <w:ind w:firstLineChars="200" w:firstLine="640"/>
        <w:jc w:val="left"/>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2017</w:t>
      </w:r>
      <w:r>
        <w:rPr>
          <w:rFonts w:ascii="仿宋_GB2312" w:eastAsia="仿宋_GB2312" w:hint="eastAsia"/>
          <w:sz w:val="32"/>
          <w:szCs w:val="32"/>
        </w:rPr>
        <w:t>年度收入决算情况说明。本年收入合计</w:t>
      </w:r>
      <w:r>
        <w:rPr>
          <w:rFonts w:ascii="仿宋_GB2312" w:eastAsia="仿宋_GB2312"/>
          <w:sz w:val="32"/>
          <w:szCs w:val="32"/>
        </w:rPr>
        <w:t>7.37</w:t>
      </w:r>
      <w:r>
        <w:rPr>
          <w:rFonts w:ascii="仿宋_GB2312" w:eastAsia="仿宋_GB2312" w:hint="eastAsia"/>
          <w:sz w:val="32"/>
          <w:szCs w:val="32"/>
        </w:rPr>
        <w:t>亿元，其中财政拨款收入</w:t>
      </w:r>
      <w:r>
        <w:rPr>
          <w:rFonts w:ascii="仿宋_GB2312" w:eastAsia="仿宋_GB2312"/>
          <w:sz w:val="32"/>
          <w:szCs w:val="32"/>
        </w:rPr>
        <w:t>6.86</w:t>
      </w:r>
      <w:r>
        <w:rPr>
          <w:rFonts w:ascii="仿宋_GB2312" w:eastAsia="仿宋_GB2312" w:hint="eastAsia"/>
          <w:sz w:val="32"/>
          <w:szCs w:val="32"/>
        </w:rPr>
        <w:t>亿元，占比</w:t>
      </w:r>
      <w:r>
        <w:rPr>
          <w:rFonts w:ascii="仿宋_GB2312" w:eastAsia="仿宋_GB2312"/>
          <w:sz w:val="32"/>
          <w:szCs w:val="32"/>
        </w:rPr>
        <w:t>93%</w:t>
      </w:r>
      <w:r>
        <w:rPr>
          <w:rFonts w:ascii="仿宋_GB2312" w:eastAsia="仿宋_GB2312" w:hint="eastAsia"/>
          <w:sz w:val="32"/>
          <w:szCs w:val="32"/>
        </w:rPr>
        <w:t>，其他收入</w:t>
      </w:r>
      <w:r>
        <w:rPr>
          <w:rFonts w:ascii="仿宋_GB2312" w:eastAsia="仿宋_GB2312"/>
          <w:sz w:val="32"/>
          <w:szCs w:val="32"/>
        </w:rPr>
        <w:t>0.51</w:t>
      </w:r>
      <w:r>
        <w:rPr>
          <w:rFonts w:ascii="仿宋_GB2312" w:eastAsia="仿宋_GB2312" w:hint="eastAsia"/>
          <w:sz w:val="32"/>
          <w:szCs w:val="32"/>
        </w:rPr>
        <w:t>亿元，占比</w:t>
      </w:r>
      <w:r>
        <w:rPr>
          <w:rFonts w:ascii="仿宋_GB2312" w:eastAsia="仿宋_GB2312"/>
          <w:sz w:val="32"/>
          <w:szCs w:val="32"/>
        </w:rPr>
        <w:t>7%</w:t>
      </w:r>
      <w:r>
        <w:rPr>
          <w:rFonts w:ascii="仿宋_GB2312" w:eastAsia="仿宋_GB2312" w:hint="eastAsia"/>
          <w:sz w:val="32"/>
          <w:szCs w:val="32"/>
        </w:rPr>
        <w:t>。</w:t>
      </w:r>
    </w:p>
    <w:p w:rsidR="00366504" w:rsidRDefault="00EE11D1">
      <w:pPr>
        <w:spacing w:line="500" w:lineRule="exact"/>
        <w:ind w:firstLineChars="200" w:firstLine="640"/>
        <w:jc w:val="left"/>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2017</w:t>
      </w:r>
      <w:r>
        <w:rPr>
          <w:rFonts w:ascii="仿宋_GB2312" w:eastAsia="仿宋_GB2312" w:hint="eastAsia"/>
          <w:sz w:val="32"/>
          <w:szCs w:val="32"/>
        </w:rPr>
        <w:t>年度支出决算情况说明。本年支出合计</w:t>
      </w:r>
      <w:r>
        <w:rPr>
          <w:rFonts w:ascii="仿宋_GB2312" w:eastAsia="仿宋_GB2312"/>
          <w:sz w:val="32"/>
          <w:szCs w:val="32"/>
        </w:rPr>
        <w:t>6.92</w:t>
      </w:r>
      <w:r>
        <w:rPr>
          <w:rFonts w:ascii="仿宋_GB2312" w:eastAsia="仿宋_GB2312" w:hint="eastAsia"/>
          <w:sz w:val="32"/>
          <w:szCs w:val="32"/>
        </w:rPr>
        <w:t>亿元，其中基本支出</w:t>
      </w:r>
      <w:r>
        <w:rPr>
          <w:rFonts w:ascii="仿宋_GB2312" w:eastAsia="仿宋_GB2312"/>
          <w:sz w:val="32"/>
          <w:szCs w:val="32"/>
        </w:rPr>
        <w:t>5</w:t>
      </w:r>
      <w:r>
        <w:rPr>
          <w:rFonts w:ascii="仿宋_GB2312" w:eastAsia="仿宋_GB2312" w:hint="eastAsia"/>
          <w:sz w:val="32"/>
          <w:szCs w:val="32"/>
        </w:rPr>
        <w:t>亿元，占比</w:t>
      </w:r>
      <w:r>
        <w:rPr>
          <w:rFonts w:ascii="仿宋_GB2312" w:eastAsia="仿宋_GB2312"/>
          <w:sz w:val="32"/>
          <w:szCs w:val="32"/>
        </w:rPr>
        <w:t>72%</w:t>
      </w:r>
      <w:r>
        <w:rPr>
          <w:rFonts w:ascii="仿宋_GB2312" w:eastAsia="仿宋_GB2312" w:hint="eastAsia"/>
          <w:sz w:val="32"/>
          <w:szCs w:val="32"/>
        </w:rPr>
        <w:t>；项目支出</w:t>
      </w:r>
      <w:r>
        <w:rPr>
          <w:rFonts w:ascii="仿宋_GB2312" w:eastAsia="仿宋_GB2312"/>
          <w:sz w:val="32"/>
          <w:szCs w:val="32"/>
        </w:rPr>
        <w:t>1.92</w:t>
      </w:r>
      <w:r>
        <w:rPr>
          <w:rFonts w:ascii="仿宋_GB2312" w:eastAsia="仿宋_GB2312" w:hint="eastAsia"/>
          <w:sz w:val="32"/>
          <w:szCs w:val="32"/>
        </w:rPr>
        <w:t>亿元，占比</w:t>
      </w:r>
      <w:r>
        <w:rPr>
          <w:rFonts w:ascii="仿宋_GB2312" w:eastAsia="仿宋_GB2312"/>
          <w:sz w:val="32"/>
          <w:szCs w:val="32"/>
        </w:rPr>
        <w:t>28%</w:t>
      </w:r>
      <w:r>
        <w:rPr>
          <w:rFonts w:ascii="仿宋_GB2312" w:eastAsia="仿宋_GB2312" w:hint="eastAsia"/>
          <w:sz w:val="32"/>
          <w:szCs w:val="32"/>
        </w:rPr>
        <w:t>。</w:t>
      </w:r>
    </w:p>
    <w:p w:rsidR="00366504" w:rsidRDefault="00EE11D1">
      <w:pPr>
        <w:widowControl/>
        <w:spacing w:line="500" w:lineRule="exact"/>
        <w:ind w:firstLineChars="200" w:firstLine="640"/>
        <w:rPr>
          <w:rFonts w:eastAsia="仿宋_GB2312"/>
          <w:sz w:val="32"/>
          <w:szCs w:val="32"/>
        </w:rPr>
      </w:pPr>
      <w:r>
        <w:rPr>
          <w:rFonts w:ascii="仿宋_GB2312" w:eastAsia="仿宋_GB2312"/>
          <w:sz w:val="32"/>
          <w:szCs w:val="32"/>
        </w:rPr>
        <w:lastRenderedPageBreak/>
        <w:t>4</w:t>
      </w:r>
      <w:r>
        <w:rPr>
          <w:rFonts w:ascii="仿宋_GB2312" w:eastAsia="仿宋_GB2312" w:hint="eastAsia"/>
          <w:sz w:val="32"/>
          <w:szCs w:val="32"/>
        </w:rPr>
        <w:t>、财政拨款收入支出决算总体情况说明。</w:t>
      </w:r>
      <w:r>
        <w:rPr>
          <w:rFonts w:eastAsia="仿宋_GB2312"/>
          <w:sz w:val="32"/>
          <w:szCs w:val="32"/>
        </w:rPr>
        <w:t>2017</w:t>
      </w:r>
      <w:r>
        <w:rPr>
          <w:rFonts w:eastAsia="仿宋_GB2312" w:hint="eastAsia"/>
          <w:sz w:val="32"/>
          <w:szCs w:val="32"/>
        </w:rPr>
        <w:t>年度财政拨款收入决算合计</w:t>
      </w:r>
      <w:r>
        <w:rPr>
          <w:rFonts w:eastAsia="仿宋_GB2312"/>
          <w:sz w:val="32"/>
          <w:szCs w:val="32"/>
        </w:rPr>
        <w:t>6.86</w:t>
      </w:r>
      <w:r>
        <w:rPr>
          <w:rFonts w:eastAsia="仿宋_GB2312" w:hint="eastAsia"/>
          <w:sz w:val="32"/>
          <w:szCs w:val="32"/>
        </w:rPr>
        <w:t>亿元，较</w:t>
      </w:r>
      <w:r>
        <w:rPr>
          <w:rFonts w:eastAsia="仿宋_GB2312"/>
          <w:sz w:val="32"/>
          <w:szCs w:val="32"/>
        </w:rPr>
        <w:t>2016</w:t>
      </w:r>
      <w:r>
        <w:rPr>
          <w:rFonts w:eastAsia="仿宋_GB2312" w:hint="eastAsia"/>
          <w:sz w:val="32"/>
          <w:szCs w:val="32"/>
        </w:rPr>
        <w:t>年减少</w:t>
      </w:r>
      <w:r>
        <w:rPr>
          <w:rFonts w:eastAsia="仿宋_GB2312"/>
          <w:sz w:val="32"/>
          <w:szCs w:val="32"/>
        </w:rPr>
        <w:t>530.07</w:t>
      </w:r>
      <w:r>
        <w:rPr>
          <w:rFonts w:eastAsia="仿宋_GB2312" w:hint="eastAsia"/>
          <w:sz w:val="32"/>
          <w:szCs w:val="32"/>
        </w:rPr>
        <w:t>万元，主要</w:t>
      </w:r>
      <w:r>
        <w:rPr>
          <w:rFonts w:ascii="仿宋_GB2312" w:eastAsia="仿宋_GB2312" w:hint="eastAsia"/>
          <w:sz w:val="32"/>
          <w:szCs w:val="32"/>
        </w:rPr>
        <w:t>是退休人员划归社保所管理。与年初预算相比增加</w:t>
      </w:r>
      <w:r>
        <w:rPr>
          <w:rFonts w:ascii="仿宋_GB2312" w:eastAsia="仿宋_GB2312"/>
          <w:sz w:val="32"/>
          <w:szCs w:val="32"/>
        </w:rPr>
        <w:t>1.36</w:t>
      </w:r>
      <w:r>
        <w:rPr>
          <w:rFonts w:ascii="仿宋_GB2312" w:eastAsia="仿宋_GB2312" w:hint="eastAsia"/>
          <w:sz w:val="32"/>
          <w:szCs w:val="32"/>
        </w:rPr>
        <w:t>亿元，主要原因为年中追加基层分局达标公用经费、人员通讯、交通、物业补贴调标等。</w:t>
      </w:r>
      <w:r>
        <w:rPr>
          <w:rFonts w:ascii="仿宋_GB2312" w:eastAsia="仿宋_GB2312"/>
          <w:sz w:val="32"/>
          <w:szCs w:val="32"/>
        </w:rPr>
        <w:t>2017</w:t>
      </w:r>
      <w:r>
        <w:rPr>
          <w:rFonts w:ascii="仿宋_GB2312" w:eastAsia="仿宋_GB2312" w:hint="eastAsia"/>
          <w:sz w:val="32"/>
          <w:szCs w:val="32"/>
        </w:rPr>
        <w:t>年度财政拨款支出决算合计</w:t>
      </w:r>
      <w:r>
        <w:rPr>
          <w:rFonts w:ascii="仿宋_GB2312" w:eastAsia="仿宋_GB2312"/>
          <w:sz w:val="32"/>
          <w:szCs w:val="32"/>
        </w:rPr>
        <w:t>6.49</w:t>
      </w:r>
      <w:r>
        <w:rPr>
          <w:rFonts w:ascii="仿宋_GB2312" w:eastAsia="仿宋_GB2312" w:hint="eastAsia"/>
          <w:sz w:val="32"/>
          <w:szCs w:val="32"/>
        </w:rPr>
        <w:t>亿元，较</w:t>
      </w:r>
      <w:r>
        <w:rPr>
          <w:rFonts w:ascii="仿宋_GB2312" w:eastAsia="仿宋_GB2312"/>
          <w:sz w:val="32"/>
          <w:szCs w:val="32"/>
        </w:rPr>
        <w:t>2016</w:t>
      </w:r>
      <w:r>
        <w:rPr>
          <w:rFonts w:ascii="仿宋_GB2312" w:eastAsia="仿宋_GB2312" w:hint="eastAsia"/>
          <w:sz w:val="32"/>
          <w:szCs w:val="32"/>
        </w:rPr>
        <w:t>年相比，减少</w:t>
      </w:r>
      <w:r>
        <w:rPr>
          <w:rFonts w:ascii="仿宋_GB2312" w:eastAsia="仿宋_GB2312"/>
          <w:sz w:val="32"/>
          <w:szCs w:val="32"/>
        </w:rPr>
        <w:t>0.18</w:t>
      </w:r>
      <w:r>
        <w:rPr>
          <w:rFonts w:ascii="仿宋_GB2312" w:eastAsia="仿宋_GB2312" w:hint="eastAsia"/>
          <w:sz w:val="32"/>
          <w:szCs w:val="32"/>
        </w:rPr>
        <w:t>亿元，</w:t>
      </w:r>
      <w:r>
        <w:rPr>
          <w:rFonts w:eastAsia="仿宋_GB2312" w:hint="eastAsia"/>
          <w:sz w:val="32"/>
          <w:szCs w:val="32"/>
        </w:rPr>
        <w:t>主要</w:t>
      </w:r>
      <w:r>
        <w:rPr>
          <w:rFonts w:ascii="仿宋_GB2312" w:eastAsia="仿宋_GB2312" w:hint="eastAsia"/>
          <w:sz w:val="32"/>
          <w:szCs w:val="32"/>
        </w:rPr>
        <w:t>是退休人员划归社保所管理。与年初预算相比增加</w:t>
      </w:r>
      <w:r>
        <w:rPr>
          <w:rFonts w:ascii="仿宋_GB2312" w:eastAsia="仿宋_GB2312"/>
          <w:sz w:val="32"/>
          <w:szCs w:val="32"/>
        </w:rPr>
        <w:t>0.99</w:t>
      </w:r>
      <w:r>
        <w:rPr>
          <w:rFonts w:ascii="仿宋_GB2312" w:eastAsia="仿宋_GB2312" w:hint="eastAsia"/>
          <w:sz w:val="32"/>
          <w:szCs w:val="32"/>
        </w:rPr>
        <w:t>亿元，主要原因为年中追加基层分局达标公用经费、人员通讯、交通、物业补贴调标等。</w:t>
      </w:r>
    </w:p>
    <w:p w:rsidR="00366504" w:rsidRDefault="00366504">
      <w:pPr>
        <w:spacing w:line="500" w:lineRule="exact"/>
        <w:ind w:firstLineChars="200" w:firstLine="640"/>
        <w:jc w:val="left"/>
        <w:rPr>
          <w:rFonts w:ascii="仿宋_GB2312" w:eastAsia="仿宋_GB2312"/>
          <w:sz w:val="32"/>
          <w:szCs w:val="32"/>
        </w:rPr>
      </w:pPr>
    </w:p>
    <w:p w:rsidR="00366504" w:rsidRDefault="00366504">
      <w:pPr>
        <w:spacing w:line="520" w:lineRule="exact"/>
        <w:jc w:val="center"/>
        <w:outlineLvl w:val="0"/>
        <w:rPr>
          <w:rFonts w:ascii="黑体" w:eastAsia="黑体" w:hAnsi="黑体"/>
          <w:sz w:val="32"/>
          <w:szCs w:val="32"/>
        </w:rPr>
      </w:pPr>
    </w:p>
    <w:p w:rsidR="00366504" w:rsidRDefault="00EE11D1">
      <w:pPr>
        <w:spacing w:line="520" w:lineRule="exact"/>
        <w:jc w:val="center"/>
        <w:outlineLvl w:val="0"/>
        <w:rPr>
          <w:rFonts w:ascii="黑体" w:eastAsia="黑体" w:hAnsi="黑体"/>
          <w:sz w:val="32"/>
          <w:szCs w:val="32"/>
        </w:rPr>
      </w:pPr>
      <w:r>
        <w:rPr>
          <w:rFonts w:ascii="黑体" w:eastAsia="黑体" w:hAnsi="黑体" w:hint="eastAsia"/>
          <w:sz w:val="32"/>
          <w:szCs w:val="32"/>
        </w:rPr>
        <w:t>第三部分：机关运行经费支出情况</w:t>
      </w:r>
    </w:p>
    <w:p w:rsidR="00366504" w:rsidRDefault="00366504">
      <w:pPr>
        <w:spacing w:line="520" w:lineRule="exact"/>
        <w:jc w:val="center"/>
        <w:outlineLvl w:val="0"/>
        <w:rPr>
          <w:rFonts w:ascii="黑体" w:eastAsia="黑体" w:hAnsi="黑体"/>
          <w:sz w:val="32"/>
          <w:szCs w:val="32"/>
        </w:rPr>
      </w:pPr>
    </w:p>
    <w:p w:rsidR="00366504" w:rsidRDefault="00EE11D1">
      <w:pPr>
        <w:spacing w:line="520" w:lineRule="exact"/>
        <w:ind w:firstLineChars="200" w:firstLine="640"/>
        <w:jc w:val="left"/>
        <w:outlineLvl w:val="0"/>
        <w:rPr>
          <w:rFonts w:ascii="黑体" w:eastAsia="黑体" w:hAnsi="黑体"/>
          <w:sz w:val="32"/>
          <w:szCs w:val="32"/>
        </w:rPr>
      </w:pPr>
      <w:r>
        <w:rPr>
          <w:rFonts w:ascii="仿宋_GB2312" w:eastAsia="仿宋_GB2312" w:hAnsi="仿宋"/>
          <w:sz w:val="32"/>
          <w:szCs w:val="32"/>
        </w:rPr>
        <w:t xml:space="preserve"> </w:t>
      </w:r>
      <w:r>
        <w:rPr>
          <w:rFonts w:ascii="仿宋_GB2312" w:eastAsia="仿宋_GB2312" w:hAnsi="仿宋" w:hint="eastAsia"/>
          <w:sz w:val="32"/>
          <w:szCs w:val="32"/>
        </w:rPr>
        <w:t>保定市公安局机关及下属二级预算单位</w:t>
      </w:r>
      <w:r>
        <w:rPr>
          <w:rFonts w:ascii="仿宋_GB2312" w:eastAsia="仿宋_GB2312" w:hAnsi="仿宋"/>
          <w:sz w:val="32"/>
          <w:szCs w:val="32"/>
        </w:rPr>
        <w:t>2017</w:t>
      </w:r>
      <w:r>
        <w:rPr>
          <w:rFonts w:ascii="仿宋_GB2312" w:eastAsia="仿宋_GB2312" w:hAnsi="仿宋" w:hint="eastAsia"/>
          <w:sz w:val="32"/>
          <w:szCs w:val="32"/>
        </w:rPr>
        <w:t>年机关运行经费</w:t>
      </w:r>
      <w:r>
        <w:rPr>
          <w:rFonts w:ascii="仿宋_GB2312" w:eastAsia="仿宋_GB2312" w:hAnsi="仿宋"/>
          <w:sz w:val="32"/>
          <w:szCs w:val="32"/>
        </w:rPr>
        <w:t>3675.97</w:t>
      </w:r>
      <w:r>
        <w:rPr>
          <w:rFonts w:ascii="仿宋_GB2312" w:eastAsia="仿宋_GB2312" w:hAnsi="仿宋" w:hint="eastAsia"/>
          <w:sz w:val="32"/>
          <w:szCs w:val="32"/>
        </w:rPr>
        <w:t>万元，其中办公费</w:t>
      </w:r>
      <w:r>
        <w:rPr>
          <w:rFonts w:ascii="仿宋_GB2312" w:eastAsia="仿宋_GB2312" w:hAnsi="仿宋"/>
          <w:sz w:val="32"/>
          <w:szCs w:val="32"/>
        </w:rPr>
        <w:t>574.29</w:t>
      </w:r>
      <w:r>
        <w:rPr>
          <w:rFonts w:ascii="仿宋_GB2312" w:eastAsia="仿宋_GB2312" w:hAnsi="仿宋" w:hint="eastAsia"/>
          <w:sz w:val="32"/>
          <w:szCs w:val="32"/>
        </w:rPr>
        <w:t>万元，印刷费</w:t>
      </w:r>
      <w:r>
        <w:rPr>
          <w:rFonts w:ascii="仿宋_GB2312" w:eastAsia="仿宋_GB2312" w:hAnsi="仿宋"/>
          <w:sz w:val="32"/>
          <w:szCs w:val="32"/>
        </w:rPr>
        <w:t>15.11</w:t>
      </w:r>
      <w:r>
        <w:rPr>
          <w:rFonts w:ascii="仿宋_GB2312" w:eastAsia="仿宋_GB2312" w:hAnsi="仿宋" w:hint="eastAsia"/>
          <w:sz w:val="32"/>
          <w:szCs w:val="32"/>
        </w:rPr>
        <w:t>万元，邮电费</w:t>
      </w:r>
      <w:r>
        <w:rPr>
          <w:rFonts w:ascii="仿宋_GB2312" w:eastAsia="仿宋_GB2312" w:hAnsi="仿宋"/>
          <w:sz w:val="32"/>
          <w:szCs w:val="32"/>
        </w:rPr>
        <w:t>1701.98</w:t>
      </w:r>
      <w:r>
        <w:rPr>
          <w:rFonts w:ascii="仿宋_GB2312" w:eastAsia="仿宋_GB2312" w:hAnsi="仿宋" w:hint="eastAsia"/>
          <w:sz w:val="32"/>
          <w:szCs w:val="32"/>
        </w:rPr>
        <w:t>万元，差旅费</w:t>
      </w:r>
      <w:r>
        <w:rPr>
          <w:rFonts w:ascii="仿宋_GB2312" w:eastAsia="仿宋_GB2312" w:hAnsi="仿宋"/>
          <w:sz w:val="32"/>
          <w:szCs w:val="32"/>
        </w:rPr>
        <w:t>21.9</w:t>
      </w:r>
      <w:r>
        <w:rPr>
          <w:rFonts w:ascii="仿宋_GB2312" w:eastAsia="仿宋_GB2312" w:hAnsi="仿宋" w:hint="eastAsia"/>
          <w:sz w:val="32"/>
          <w:szCs w:val="32"/>
        </w:rPr>
        <w:t>万元，会议费</w:t>
      </w:r>
      <w:r>
        <w:rPr>
          <w:rFonts w:ascii="仿宋_GB2312" w:eastAsia="仿宋_GB2312" w:hAnsi="仿宋"/>
          <w:sz w:val="32"/>
          <w:szCs w:val="32"/>
        </w:rPr>
        <w:t>0.08</w:t>
      </w:r>
      <w:r>
        <w:rPr>
          <w:rFonts w:ascii="仿宋_GB2312" w:eastAsia="仿宋_GB2312" w:hAnsi="仿宋" w:hint="eastAsia"/>
          <w:sz w:val="32"/>
          <w:szCs w:val="32"/>
        </w:rPr>
        <w:t>万元，福利费</w:t>
      </w:r>
      <w:r>
        <w:rPr>
          <w:rFonts w:ascii="仿宋_GB2312" w:eastAsia="仿宋_GB2312" w:hAnsi="仿宋"/>
          <w:sz w:val="32"/>
          <w:szCs w:val="32"/>
        </w:rPr>
        <w:t>49.26</w:t>
      </w:r>
      <w:r>
        <w:rPr>
          <w:rFonts w:ascii="仿宋_GB2312" w:eastAsia="仿宋_GB2312" w:hAnsi="仿宋" w:hint="eastAsia"/>
          <w:sz w:val="32"/>
          <w:szCs w:val="32"/>
        </w:rPr>
        <w:t>万元，日常维修费</w:t>
      </w:r>
      <w:r>
        <w:rPr>
          <w:rFonts w:ascii="仿宋_GB2312" w:eastAsia="仿宋_GB2312" w:hAnsi="仿宋"/>
          <w:sz w:val="32"/>
          <w:szCs w:val="32"/>
        </w:rPr>
        <w:t>227.33</w:t>
      </w:r>
      <w:r>
        <w:rPr>
          <w:rFonts w:ascii="仿宋_GB2312" w:eastAsia="仿宋_GB2312" w:hAnsi="仿宋" w:hint="eastAsia"/>
          <w:sz w:val="32"/>
          <w:szCs w:val="32"/>
        </w:rPr>
        <w:t>万元，专用材料费</w:t>
      </w:r>
      <w:r>
        <w:rPr>
          <w:rFonts w:ascii="仿宋_GB2312" w:eastAsia="仿宋_GB2312" w:hAnsi="仿宋"/>
          <w:sz w:val="32"/>
          <w:szCs w:val="32"/>
        </w:rPr>
        <w:t>90.99</w:t>
      </w:r>
      <w:r>
        <w:rPr>
          <w:rFonts w:ascii="仿宋_GB2312" w:eastAsia="仿宋_GB2312" w:hAnsi="仿宋" w:hint="eastAsia"/>
          <w:sz w:val="32"/>
          <w:szCs w:val="32"/>
        </w:rPr>
        <w:t>万元，一般设备购置费</w:t>
      </w:r>
      <w:r>
        <w:rPr>
          <w:rFonts w:ascii="仿宋_GB2312" w:eastAsia="仿宋_GB2312" w:hAnsi="仿宋"/>
          <w:sz w:val="32"/>
          <w:szCs w:val="32"/>
        </w:rPr>
        <w:t>264.33</w:t>
      </w:r>
      <w:r>
        <w:rPr>
          <w:rFonts w:ascii="仿宋_GB2312" w:eastAsia="仿宋_GB2312" w:hAnsi="仿宋" w:hint="eastAsia"/>
          <w:sz w:val="32"/>
          <w:szCs w:val="32"/>
        </w:rPr>
        <w:t>万元，水电费</w:t>
      </w:r>
      <w:r>
        <w:rPr>
          <w:rFonts w:ascii="仿宋_GB2312" w:eastAsia="仿宋_GB2312" w:hAnsi="仿宋"/>
          <w:sz w:val="32"/>
          <w:szCs w:val="32"/>
        </w:rPr>
        <w:t>304.54</w:t>
      </w:r>
      <w:r>
        <w:rPr>
          <w:rFonts w:ascii="仿宋_GB2312" w:eastAsia="仿宋_GB2312" w:hAnsi="仿宋" w:hint="eastAsia"/>
          <w:sz w:val="32"/>
          <w:szCs w:val="32"/>
        </w:rPr>
        <w:t>万元，办公取暖费</w:t>
      </w:r>
      <w:r>
        <w:rPr>
          <w:rFonts w:ascii="仿宋_GB2312" w:eastAsia="仿宋_GB2312" w:hAnsi="仿宋"/>
          <w:sz w:val="32"/>
          <w:szCs w:val="32"/>
        </w:rPr>
        <w:t>100.25</w:t>
      </w:r>
      <w:r>
        <w:rPr>
          <w:rFonts w:ascii="仿宋_GB2312" w:eastAsia="仿宋_GB2312" w:hAnsi="仿宋" w:hint="eastAsia"/>
          <w:sz w:val="32"/>
          <w:szCs w:val="32"/>
        </w:rPr>
        <w:t>万元，</w:t>
      </w:r>
      <w:proofErr w:type="gramStart"/>
      <w:r>
        <w:rPr>
          <w:rFonts w:ascii="仿宋_GB2312" w:eastAsia="仿宋_GB2312" w:hAnsi="仿宋" w:hint="eastAsia"/>
          <w:sz w:val="32"/>
          <w:szCs w:val="32"/>
        </w:rPr>
        <w:t>物业费</w:t>
      </w:r>
      <w:proofErr w:type="gramEnd"/>
      <w:r>
        <w:rPr>
          <w:rFonts w:ascii="仿宋_GB2312" w:eastAsia="仿宋_GB2312" w:hAnsi="仿宋"/>
          <w:sz w:val="32"/>
          <w:szCs w:val="32"/>
        </w:rPr>
        <w:t>116.74</w:t>
      </w:r>
      <w:r>
        <w:rPr>
          <w:rFonts w:ascii="仿宋_GB2312" w:eastAsia="仿宋_GB2312" w:hAnsi="仿宋" w:hint="eastAsia"/>
          <w:sz w:val="32"/>
          <w:szCs w:val="32"/>
        </w:rPr>
        <w:t>万元，公车运行维护费</w:t>
      </w:r>
      <w:r>
        <w:rPr>
          <w:rFonts w:ascii="仿宋_GB2312" w:eastAsia="仿宋_GB2312" w:hAnsi="仿宋"/>
          <w:sz w:val="32"/>
          <w:szCs w:val="32"/>
        </w:rPr>
        <w:t>2</w:t>
      </w:r>
      <w:r>
        <w:rPr>
          <w:rFonts w:ascii="仿宋_GB2312" w:eastAsia="仿宋_GB2312" w:hAnsi="仿宋"/>
          <w:sz w:val="32"/>
          <w:szCs w:val="32"/>
        </w:rPr>
        <w:t>09.17</w:t>
      </w:r>
      <w:r>
        <w:rPr>
          <w:rFonts w:ascii="仿宋_GB2312" w:eastAsia="仿宋_GB2312" w:hAnsi="仿宋" w:hint="eastAsia"/>
          <w:sz w:val="32"/>
          <w:szCs w:val="32"/>
        </w:rPr>
        <w:t>万元。较</w:t>
      </w:r>
      <w:r>
        <w:rPr>
          <w:rFonts w:ascii="仿宋_GB2312" w:eastAsia="仿宋_GB2312" w:hAnsi="仿宋"/>
          <w:sz w:val="32"/>
          <w:szCs w:val="32"/>
        </w:rPr>
        <w:t>2016</w:t>
      </w:r>
      <w:r>
        <w:rPr>
          <w:rFonts w:ascii="仿宋_GB2312" w:eastAsia="仿宋_GB2312" w:hAnsi="仿宋" w:hint="eastAsia"/>
          <w:sz w:val="32"/>
          <w:szCs w:val="32"/>
        </w:rPr>
        <w:t>年机关运行经费增加</w:t>
      </w:r>
      <w:r>
        <w:rPr>
          <w:rFonts w:ascii="仿宋_GB2312" w:eastAsia="仿宋_GB2312" w:hAnsi="仿宋"/>
          <w:sz w:val="32"/>
          <w:szCs w:val="32"/>
        </w:rPr>
        <w:t>737.97</w:t>
      </w:r>
      <w:r>
        <w:rPr>
          <w:rFonts w:ascii="仿宋_GB2312" w:eastAsia="仿宋_GB2312" w:hAnsi="仿宋" w:hint="eastAsia"/>
          <w:sz w:val="32"/>
          <w:szCs w:val="32"/>
        </w:rPr>
        <w:t>万元，主要原因是移动通讯补贴标准提高，邮电费支出增加。</w:t>
      </w:r>
    </w:p>
    <w:p w:rsidR="00366504" w:rsidRDefault="00366504">
      <w:pPr>
        <w:spacing w:line="520" w:lineRule="exact"/>
        <w:jc w:val="center"/>
        <w:outlineLvl w:val="0"/>
        <w:rPr>
          <w:rFonts w:ascii="黑体" w:eastAsia="黑体" w:hAnsi="黑体"/>
          <w:sz w:val="32"/>
          <w:szCs w:val="32"/>
        </w:rPr>
      </w:pPr>
    </w:p>
    <w:p w:rsidR="00366504" w:rsidRDefault="00EE11D1">
      <w:pPr>
        <w:spacing w:line="520" w:lineRule="exact"/>
        <w:jc w:val="center"/>
        <w:outlineLvl w:val="0"/>
        <w:rPr>
          <w:rFonts w:ascii="黑体" w:eastAsia="黑体" w:hAnsi="黑体"/>
          <w:sz w:val="32"/>
          <w:szCs w:val="32"/>
        </w:rPr>
      </w:pPr>
      <w:r>
        <w:rPr>
          <w:rFonts w:ascii="黑体" w:eastAsia="黑体" w:hAnsi="黑体" w:hint="eastAsia"/>
          <w:sz w:val="32"/>
          <w:szCs w:val="32"/>
        </w:rPr>
        <w:t>第四部分：财政拨款“三公”经费决算情况及说明</w:t>
      </w:r>
    </w:p>
    <w:p w:rsidR="00366504" w:rsidRDefault="00EE11D1">
      <w:pPr>
        <w:spacing w:line="520" w:lineRule="exact"/>
        <w:jc w:val="center"/>
        <w:outlineLvl w:val="0"/>
        <w:rPr>
          <w:rFonts w:ascii="仿宋" w:eastAsia="仿宋" w:hAnsi="仿宋"/>
          <w:b/>
          <w:sz w:val="32"/>
          <w:szCs w:val="32"/>
        </w:rPr>
      </w:pPr>
      <w:r>
        <w:rPr>
          <w:rFonts w:ascii="仿宋" w:eastAsia="仿宋" w:hAnsi="仿宋" w:cs="宋体" w:hint="eastAsia"/>
          <w:b/>
          <w:color w:val="000000"/>
          <w:kern w:val="0"/>
          <w:sz w:val="32"/>
          <w:szCs w:val="32"/>
        </w:rPr>
        <w:t>市级部门</w:t>
      </w:r>
      <w:r>
        <w:rPr>
          <w:rFonts w:ascii="仿宋" w:eastAsia="仿宋" w:hAnsi="仿宋" w:cs="宋体"/>
          <w:b/>
          <w:color w:val="000000"/>
          <w:kern w:val="0"/>
          <w:sz w:val="32"/>
          <w:szCs w:val="32"/>
        </w:rPr>
        <w:t>2017</w:t>
      </w:r>
      <w:r>
        <w:rPr>
          <w:rFonts w:ascii="仿宋" w:eastAsia="仿宋" w:hAnsi="仿宋" w:cs="宋体" w:hint="eastAsia"/>
          <w:b/>
          <w:color w:val="000000"/>
          <w:kern w:val="0"/>
          <w:sz w:val="32"/>
          <w:szCs w:val="32"/>
        </w:rPr>
        <w:t>年“三公”经费决算与预算对比情况及说明</w:t>
      </w:r>
    </w:p>
    <w:tbl>
      <w:tblPr>
        <w:tblW w:w="5000" w:type="pct"/>
        <w:tblLayout w:type="fixed"/>
        <w:tblLook w:val="04A0" w:firstRow="1" w:lastRow="0" w:firstColumn="1" w:lastColumn="0" w:noHBand="0" w:noVBand="1"/>
      </w:tblPr>
      <w:tblGrid>
        <w:gridCol w:w="1004"/>
        <w:gridCol w:w="759"/>
        <w:gridCol w:w="836"/>
        <w:gridCol w:w="658"/>
        <w:gridCol w:w="1072"/>
        <w:gridCol w:w="788"/>
        <w:gridCol w:w="926"/>
        <w:gridCol w:w="765"/>
        <w:gridCol w:w="834"/>
        <w:gridCol w:w="650"/>
        <w:gridCol w:w="1123"/>
        <w:gridCol w:w="440"/>
      </w:tblGrid>
      <w:tr w:rsidR="00366504">
        <w:trPr>
          <w:trHeight w:val="270"/>
        </w:trPr>
        <w:tc>
          <w:tcPr>
            <w:tcW w:w="1318" w:type="pct"/>
            <w:gridSpan w:val="3"/>
            <w:tcBorders>
              <w:top w:val="nil"/>
              <w:left w:val="nil"/>
              <w:bottom w:val="nil"/>
              <w:right w:val="nil"/>
            </w:tcBorders>
            <w:noWrap/>
            <w:vAlign w:val="center"/>
          </w:tcPr>
          <w:p w:rsidR="00366504" w:rsidRDefault="00EE11D1">
            <w:pPr>
              <w:widowControl/>
              <w:jc w:val="left"/>
              <w:rPr>
                <w:rFonts w:ascii="宋体" w:cs="宋体"/>
                <w:b/>
                <w:bCs/>
                <w:color w:val="000000"/>
                <w:kern w:val="0"/>
                <w:sz w:val="22"/>
              </w:rPr>
            </w:pPr>
            <w:r>
              <w:rPr>
                <w:rFonts w:ascii="宋体" w:hAnsi="宋体" w:cs="宋体" w:hint="eastAsia"/>
                <w:b/>
                <w:bCs/>
                <w:color w:val="000000"/>
                <w:kern w:val="0"/>
                <w:sz w:val="22"/>
              </w:rPr>
              <w:t>部门：保定市公安局</w:t>
            </w:r>
          </w:p>
        </w:tc>
        <w:tc>
          <w:tcPr>
            <w:tcW w:w="334"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544"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400"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470"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388"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423"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330"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570" w:type="pct"/>
            <w:tcBorders>
              <w:top w:val="nil"/>
              <w:left w:val="nil"/>
              <w:bottom w:val="nil"/>
              <w:right w:val="nil"/>
            </w:tcBorders>
            <w:noWrap/>
            <w:vAlign w:val="center"/>
          </w:tcPr>
          <w:p w:rsidR="00366504" w:rsidRDefault="00EE11D1">
            <w:pPr>
              <w:widowControl/>
              <w:jc w:val="left"/>
              <w:rPr>
                <w:rFonts w:ascii="宋体" w:cs="宋体"/>
                <w:color w:val="000000"/>
                <w:kern w:val="0"/>
                <w:sz w:val="22"/>
              </w:rPr>
            </w:pPr>
            <w:r>
              <w:rPr>
                <w:rFonts w:ascii="宋体" w:hAnsi="宋体" w:cs="宋体" w:hint="eastAsia"/>
                <w:color w:val="000000"/>
                <w:kern w:val="0"/>
                <w:sz w:val="22"/>
              </w:rPr>
              <w:t>单位：万元</w:t>
            </w:r>
          </w:p>
        </w:tc>
        <w:tc>
          <w:tcPr>
            <w:tcW w:w="224"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r>
      <w:tr w:rsidR="00366504">
        <w:trPr>
          <w:trHeight w:val="134"/>
        </w:trPr>
        <w:tc>
          <w:tcPr>
            <w:tcW w:w="509"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385"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423"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334"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544"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400"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470"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388"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423"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330"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570"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224"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r>
      <w:tr w:rsidR="00366504">
        <w:trPr>
          <w:trHeight w:val="600"/>
        </w:trPr>
        <w:tc>
          <w:tcPr>
            <w:tcW w:w="2595" w:type="pct"/>
            <w:gridSpan w:val="6"/>
            <w:tcBorders>
              <w:top w:val="single" w:sz="4" w:space="0" w:color="auto"/>
              <w:left w:val="single" w:sz="4" w:space="0" w:color="auto"/>
              <w:bottom w:val="single" w:sz="4" w:space="0" w:color="auto"/>
              <w:right w:val="single" w:sz="4" w:space="0" w:color="000000"/>
            </w:tcBorders>
            <w:noWrap/>
            <w:vAlign w:val="center"/>
          </w:tcPr>
          <w:p w:rsidR="00366504" w:rsidRDefault="00EE11D1">
            <w:pPr>
              <w:widowControl/>
              <w:jc w:val="center"/>
              <w:rPr>
                <w:rFonts w:ascii="宋体" w:cs="宋体"/>
                <w:color w:val="000000"/>
                <w:kern w:val="0"/>
                <w:sz w:val="22"/>
              </w:rPr>
            </w:pPr>
            <w:r>
              <w:rPr>
                <w:rFonts w:ascii="宋体" w:hAnsi="宋体" w:cs="宋体" w:hint="eastAsia"/>
                <w:color w:val="000000"/>
                <w:kern w:val="0"/>
                <w:sz w:val="22"/>
              </w:rPr>
              <w:t>预算数</w:t>
            </w:r>
          </w:p>
        </w:tc>
        <w:tc>
          <w:tcPr>
            <w:tcW w:w="2405" w:type="pct"/>
            <w:gridSpan w:val="6"/>
            <w:tcBorders>
              <w:top w:val="single" w:sz="4" w:space="0" w:color="auto"/>
              <w:left w:val="nil"/>
              <w:bottom w:val="single" w:sz="4" w:space="0" w:color="auto"/>
              <w:right w:val="single" w:sz="4" w:space="0" w:color="000000"/>
            </w:tcBorders>
            <w:noWrap/>
            <w:vAlign w:val="center"/>
          </w:tcPr>
          <w:p w:rsidR="00366504" w:rsidRDefault="00EE11D1">
            <w:pPr>
              <w:widowControl/>
              <w:jc w:val="center"/>
              <w:rPr>
                <w:rFonts w:ascii="宋体" w:cs="宋体"/>
                <w:color w:val="000000"/>
                <w:kern w:val="0"/>
                <w:sz w:val="22"/>
              </w:rPr>
            </w:pPr>
            <w:r>
              <w:rPr>
                <w:rFonts w:ascii="宋体" w:hAnsi="宋体" w:cs="宋体" w:hint="eastAsia"/>
                <w:color w:val="000000"/>
                <w:kern w:val="0"/>
                <w:sz w:val="22"/>
              </w:rPr>
              <w:t>决算数</w:t>
            </w:r>
          </w:p>
        </w:tc>
      </w:tr>
      <w:tr w:rsidR="00366504">
        <w:trPr>
          <w:trHeight w:val="600"/>
        </w:trPr>
        <w:tc>
          <w:tcPr>
            <w:tcW w:w="509" w:type="pct"/>
            <w:vMerge w:val="restart"/>
            <w:tcBorders>
              <w:top w:val="nil"/>
              <w:left w:val="single" w:sz="4" w:space="0" w:color="auto"/>
              <w:bottom w:val="single" w:sz="4" w:space="0" w:color="000000"/>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hint="eastAsia"/>
                <w:color w:val="000000"/>
                <w:kern w:val="0"/>
                <w:sz w:val="22"/>
              </w:rPr>
              <w:lastRenderedPageBreak/>
              <w:t>合计</w:t>
            </w:r>
          </w:p>
        </w:tc>
        <w:tc>
          <w:tcPr>
            <w:tcW w:w="385" w:type="pct"/>
            <w:vMerge w:val="restart"/>
            <w:tcBorders>
              <w:top w:val="nil"/>
              <w:left w:val="single" w:sz="4" w:space="0" w:color="auto"/>
              <w:bottom w:val="single" w:sz="4" w:space="0" w:color="000000"/>
              <w:right w:val="single" w:sz="4" w:space="0" w:color="auto"/>
            </w:tcBorders>
            <w:vAlign w:val="center"/>
          </w:tcPr>
          <w:p w:rsidR="00366504" w:rsidRDefault="00EE11D1">
            <w:pPr>
              <w:widowControl/>
              <w:jc w:val="center"/>
              <w:rPr>
                <w:rFonts w:ascii="宋体" w:cs="宋体"/>
                <w:color w:val="000000"/>
                <w:kern w:val="0"/>
                <w:sz w:val="22"/>
              </w:rPr>
            </w:pPr>
            <w:r>
              <w:rPr>
                <w:rFonts w:ascii="宋体" w:hAnsi="宋体" w:cs="宋体" w:hint="eastAsia"/>
                <w:color w:val="000000"/>
                <w:kern w:val="0"/>
                <w:sz w:val="22"/>
              </w:rPr>
              <w:t>因公出国</w:t>
            </w:r>
            <w:r>
              <w:rPr>
                <w:rFonts w:ascii="宋体" w:cs="宋体"/>
                <w:color w:val="000000"/>
                <w:kern w:val="0"/>
                <w:sz w:val="22"/>
              </w:rPr>
              <w:t>{</w:t>
            </w:r>
            <w:r>
              <w:rPr>
                <w:rFonts w:ascii="宋体" w:hAnsi="宋体" w:cs="宋体" w:hint="eastAsia"/>
                <w:color w:val="000000"/>
                <w:kern w:val="0"/>
                <w:sz w:val="22"/>
              </w:rPr>
              <w:t>境</w:t>
            </w:r>
            <w:r>
              <w:rPr>
                <w:rFonts w:ascii="宋体" w:cs="宋体"/>
                <w:color w:val="000000"/>
                <w:kern w:val="0"/>
                <w:sz w:val="22"/>
              </w:rPr>
              <w:t>}</w:t>
            </w:r>
            <w:r>
              <w:rPr>
                <w:rFonts w:ascii="宋体" w:hAnsi="宋体" w:cs="宋体" w:hint="eastAsia"/>
                <w:color w:val="000000"/>
                <w:kern w:val="0"/>
                <w:sz w:val="22"/>
              </w:rPr>
              <w:t>费</w:t>
            </w:r>
          </w:p>
        </w:tc>
        <w:tc>
          <w:tcPr>
            <w:tcW w:w="1301" w:type="pct"/>
            <w:gridSpan w:val="3"/>
            <w:tcBorders>
              <w:top w:val="single" w:sz="4" w:space="0" w:color="auto"/>
              <w:left w:val="nil"/>
              <w:bottom w:val="single" w:sz="4" w:space="0" w:color="auto"/>
              <w:right w:val="single" w:sz="4" w:space="0" w:color="000000"/>
            </w:tcBorders>
            <w:vAlign w:val="center"/>
          </w:tcPr>
          <w:p w:rsidR="00366504" w:rsidRDefault="00EE11D1">
            <w:pPr>
              <w:widowControl/>
              <w:jc w:val="center"/>
              <w:rPr>
                <w:rFonts w:ascii="宋体" w:cs="宋体"/>
                <w:color w:val="000000"/>
                <w:kern w:val="0"/>
                <w:sz w:val="22"/>
              </w:rPr>
            </w:pPr>
            <w:r>
              <w:rPr>
                <w:rFonts w:ascii="宋体" w:hAnsi="宋体" w:cs="宋体" w:hint="eastAsia"/>
                <w:color w:val="000000"/>
                <w:kern w:val="0"/>
                <w:sz w:val="22"/>
              </w:rPr>
              <w:t>公务用车购置及运行经费</w:t>
            </w:r>
          </w:p>
        </w:tc>
        <w:tc>
          <w:tcPr>
            <w:tcW w:w="400" w:type="pct"/>
            <w:vMerge w:val="restart"/>
            <w:tcBorders>
              <w:top w:val="nil"/>
              <w:left w:val="single" w:sz="4" w:space="0" w:color="auto"/>
              <w:bottom w:val="single" w:sz="4" w:space="0" w:color="000000"/>
              <w:right w:val="single" w:sz="4" w:space="0" w:color="auto"/>
            </w:tcBorders>
            <w:vAlign w:val="center"/>
          </w:tcPr>
          <w:p w:rsidR="00366504" w:rsidRDefault="00EE11D1">
            <w:pPr>
              <w:widowControl/>
              <w:jc w:val="center"/>
              <w:rPr>
                <w:rFonts w:ascii="宋体" w:cs="宋体"/>
                <w:color w:val="000000"/>
                <w:kern w:val="0"/>
                <w:sz w:val="22"/>
              </w:rPr>
            </w:pPr>
            <w:r>
              <w:rPr>
                <w:rFonts w:ascii="宋体" w:hAnsi="宋体" w:cs="宋体" w:hint="eastAsia"/>
                <w:color w:val="000000"/>
                <w:kern w:val="0"/>
                <w:sz w:val="22"/>
              </w:rPr>
              <w:t>公务接待费</w:t>
            </w:r>
          </w:p>
        </w:tc>
        <w:tc>
          <w:tcPr>
            <w:tcW w:w="470" w:type="pct"/>
            <w:vMerge w:val="restart"/>
            <w:tcBorders>
              <w:top w:val="nil"/>
              <w:left w:val="single" w:sz="4" w:space="0" w:color="auto"/>
              <w:bottom w:val="single" w:sz="4" w:space="0" w:color="000000"/>
              <w:right w:val="single" w:sz="4" w:space="0" w:color="auto"/>
            </w:tcBorders>
            <w:vAlign w:val="center"/>
          </w:tcPr>
          <w:p w:rsidR="00366504" w:rsidRDefault="00EE11D1">
            <w:pPr>
              <w:widowControl/>
              <w:jc w:val="center"/>
              <w:rPr>
                <w:rFonts w:ascii="宋体" w:cs="宋体"/>
                <w:color w:val="000000"/>
                <w:kern w:val="0"/>
                <w:sz w:val="22"/>
              </w:rPr>
            </w:pPr>
            <w:r>
              <w:rPr>
                <w:rFonts w:ascii="宋体" w:hAnsi="宋体" w:cs="宋体" w:hint="eastAsia"/>
                <w:color w:val="000000"/>
                <w:kern w:val="0"/>
                <w:sz w:val="22"/>
              </w:rPr>
              <w:t>合计</w:t>
            </w:r>
          </w:p>
        </w:tc>
        <w:tc>
          <w:tcPr>
            <w:tcW w:w="388" w:type="pct"/>
            <w:vMerge w:val="restart"/>
            <w:tcBorders>
              <w:top w:val="nil"/>
              <w:left w:val="single" w:sz="4" w:space="0" w:color="auto"/>
              <w:bottom w:val="single" w:sz="4" w:space="0" w:color="000000"/>
              <w:right w:val="single" w:sz="4" w:space="0" w:color="auto"/>
            </w:tcBorders>
            <w:vAlign w:val="center"/>
          </w:tcPr>
          <w:p w:rsidR="00366504" w:rsidRDefault="00EE11D1">
            <w:pPr>
              <w:widowControl/>
              <w:jc w:val="center"/>
              <w:rPr>
                <w:rFonts w:ascii="宋体" w:cs="宋体"/>
                <w:color w:val="000000"/>
                <w:kern w:val="0"/>
                <w:sz w:val="22"/>
              </w:rPr>
            </w:pPr>
            <w:r>
              <w:rPr>
                <w:rFonts w:ascii="宋体" w:hAnsi="宋体" w:cs="宋体" w:hint="eastAsia"/>
                <w:color w:val="000000"/>
                <w:kern w:val="0"/>
                <w:sz w:val="22"/>
              </w:rPr>
              <w:t>因公出国</w:t>
            </w:r>
            <w:r>
              <w:rPr>
                <w:rFonts w:ascii="宋体" w:cs="宋体"/>
                <w:color w:val="000000"/>
                <w:kern w:val="0"/>
                <w:sz w:val="22"/>
              </w:rPr>
              <w:t>{</w:t>
            </w:r>
            <w:r>
              <w:rPr>
                <w:rFonts w:ascii="宋体" w:hAnsi="宋体" w:cs="宋体" w:hint="eastAsia"/>
                <w:color w:val="000000"/>
                <w:kern w:val="0"/>
                <w:sz w:val="22"/>
              </w:rPr>
              <w:t>境</w:t>
            </w:r>
            <w:r>
              <w:rPr>
                <w:rFonts w:ascii="宋体" w:cs="宋体"/>
                <w:color w:val="000000"/>
                <w:kern w:val="0"/>
                <w:sz w:val="22"/>
              </w:rPr>
              <w:t>}</w:t>
            </w:r>
            <w:r>
              <w:rPr>
                <w:rFonts w:ascii="宋体" w:hAnsi="宋体" w:cs="宋体" w:hint="eastAsia"/>
                <w:color w:val="000000"/>
                <w:kern w:val="0"/>
                <w:sz w:val="22"/>
              </w:rPr>
              <w:t>费</w:t>
            </w:r>
          </w:p>
        </w:tc>
        <w:tc>
          <w:tcPr>
            <w:tcW w:w="1323" w:type="pct"/>
            <w:gridSpan w:val="3"/>
            <w:tcBorders>
              <w:top w:val="single" w:sz="4" w:space="0" w:color="auto"/>
              <w:left w:val="nil"/>
              <w:bottom w:val="single" w:sz="4" w:space="0" w:color="auto"/>
              <w:right w:val="single" w:sz="4" w:space="0" w:color="000000"/>
            </w:tcBorders>
            <w:vAlign w:val="center"/>
          </w:tcPr>
          <w:p w:rsidR="00366504" w:rsidRDefault="00EE11D1">
            <w:pPr>
              <w:widowControl/>
              <w:jc w:val="center"/>
              <w:rPr>
                <w:rFonts w:ascii="宋体" w:cs="宋体"/>
                <w:color w:val="000000"/>
                <w:kern w:val="0"/>
                <w:sz w:val="22"/>
              </w:rPr>
            </w:pPr>
            <w:r>
              <w:rPr>
                <w:rFonts w:ascii="宋体" w:hAnsi="宋体" w:cs="宋体" w:hint="eastAsia"/>
                <w:color w:val="000000"/>
                <w:kern w:val="0"/>
                <w:sz w:val="22"/>
              </w:rPr>
              <w:t>公务用车购置及运行经费</w:t>
            </w:r>
          </w:p>
        </w:tc>
        <w:tc>
          <w:tcPr>
            <w:tcW w:w="224" w:type="pct"/>
            <w:vMerge w:val="restart"/>
            <w:tcBorders>
              <w:top w:val="nil"/>
              <w:left w:val="single" w:sz="4" w:space="0" w:color="auto"/>
              <w:bottom w:val="single" w:sz="4" w:space="0" w:color="000000"/>
              <w:right w:val="single" w:sz="4" w:space="0" w:color="auto"/>
            </w:tcBorders>
            <w:vAlign w:val="center"/>
          </w:tcPr>
          <w:p w:rsidR="00366504" w:rsidRDefault="00EE11D1">
            <w:pPr>
              <w:widowControl/>
              <w:jc w:val="center"/>
              <w:rPr>
                <w:rFonts w:ascii="宋体" w:cs="宋体"/>
                <w:color w:val="000000"/>
                <w:kern w:val="0"/>
                <w:sz w:val="22"/>
              </w:rPr>
            </w:pPr>
            <w:r>
              <w:rPr>
                <w:rFonts w:ascii="宋体" w:hAnsi="宋体" w:cs="宋体" w:hint="eastAsia"/>
                <w:color w:val="000000"/>
                <w:kern w:val="0"/>
                <w:sz w:val="22"/>
              </w:rPr>
              <w:t>公务接待费</w:t>
            </w:r>
          </w:p>
        </w:tc>
      </w:tr>
      <w:tr w:rsidR="00366504">
        <w:trPr>
          <w:trHeight w:val="870"/>
        </w:trPr>
        <w:tc>
          <w:tcPr>
            <w:tcW w:w="509" w:type="pct"/>
            <w:vMerge/>
            <w:tcBorders>
              <w:top w:val="nil"/>
              <w:left w:val="single" w:sz="4" w:space="0" w:color="auto"/>
              <w:bottom w:val="single" w:sz="4" w:space="0" w:color="000000"/>
              <w:right w:val="single" w:sz="4" w:space="0" w:color="auto"/>
            </w:tcBorders>
            <w:vAlign w:val="center"/>
          </w:tcPr>
          <w:p w:rsidR="00366504" w:rsidRDefault="00366504">
            <w:pPr>
              <w:widowControl/>
              <w:jc w:val="left"/>
              <w:rPr>
                <w:rFonts w:ascii="宋体" w:cs="宋体"/>
                <w:color w:val="000000"/>
                <w:kern w:val="0"/>
                <w:sz w:val="22"/>
              </w:rPr>
            </w:pPr>
          </w:p>
        </w:tc>
        <w:tc>
          <w:tcPr>
            <w:tcW w:w="385" w:type="pct"/>
            <w:vMerge/>
            <w:tcBorders>
              <w:top w:val="nil"/>
              <w:left w:val="single" w:sz="4" w:space="0" w:color="auto"/>
              <w:bottom w:val="single" w:sz="4" w:space="0" w:color="000000"/>
              <w:right w:val="single" w:sz="4" w:space="0" w:color="auto"/>
            </w:tcBorders>
            <w:vAlign w:val="center"/>
          </w:tcPr>
          <w:p w:rsidR="00366504" w:rsidRDefault="00366504">
            <w:pPr>
              <w:widowControl/>
              <w:jc w:val="left"/>
              <w:rPr>
                <w:rFonts w:ascii="宋体" w:cs="宋体"/>
                <w:color w:val="000000"/>
                <w:kern w:val="0"/>
                <w:sz w:val="22"/>
              </w:rPr>
            </w:pPr>
          </w:p>
        </w:tc>
        <w:tc>
          <w:tcPr>
            <w:tcW w:w="423" w:type="pct"/>
            <w:tcBorders>
              <w:top w:val="nil"/>
              <w:left w:val="nil"/>
              <w:bottom w:val="single" w:sz="4" w:space="0" w:color="auto"/>
              <w:right w:val="single" w:sz="4" w:space="0" w:color="auto"/>
            </w:tcBorders>
            <w:vAlign w:val="center"/>
          </w:tcPr>
          <w:p w:rsidR="00366504" w:rsidRDefault="00EE11D1">
            <w:pPr>
              <w:widowControl/>
              <w:jc w:val="left"/>
              <w:rPr>
                <w:rFonts w:ascii="宋体" w:cs="宋体"/>
                <w:color w:val="000000"/>
                <w:kern w:val="0"/>
                <w:sz w:val="22"/>
              </w:rPr>
            </w:pPr>
            <w:r>
              <w:rPr>
                <w:rFonts w:ascii="宋体" w:hAnsi="宋体" w:cs="宋体" w:hint="eastAsia"/>
                <w:color w:val="000000"/>
                <w:kern w:val="0"/>
                <w:sz w:val="22"/>
              </w:rPr>
              <w:t>小计</w:t>
            </w:r>
          </w:p>
        </w:tc>
        <w:tc>
          <w:tcPr>
            <w:tcW w:w="334" w:type="pct"/>
            <w:tcBorders>
              <w:top w:val="nil"/>
              <w:left w:val="nil"/>
              <w:bottom w:val="single" w:sz="4" w:space="0" w:color="auto"/>
              <w:right w:val="single" w:sz="4" w:space="0" w:color="auto"/>
            </w:tcBorders>
            <w:vAlign w:val="center"/>
          </w:tcPr>
          <w:p w:rsidR="00366504" w:rsidRDefault="00EE11D1">
            <w:pPr>
              <w:widowControl/>
              <w:jc w:val="left"/>
              <w:rPr>
                <w:rFonts w:ascii="宋体" w:cs="宋体"/>
                <w:color w:val="000000"/>
                <w:kern w:val="0"/>
                <w:sz w:val="22"/>
              </w:rPr>
            </w:pPr>
            <w:r>
              <w:rPr>
                <w:rFonts w:ascii="宋体" w:hAnsi="宋体" w:cs="宋体" w:hint="eastAsia"/>
                <w:color w:val="000000"/>
                <w:kern w:val="0"/>
                <w:sz w:val="22"/>
              </w:rPr>
              <w:t>公务用车购置</w:t>
            </w:r>
          </w:p>
        </w:tc>
        <w:tc>
          <w:tcPr>
            <w:tcW w:w="544" w:type="pct"/>
            <w:tcBorders>
              <w:top w:val="nil"/>
              <w:left w:val="nil"/>
              <w:bottom w:val="single" w:sz="4" w:space="0" w:color="auto"/>
              <w:right w:val="single" w:sz="4" w:space="0" w:color="auto"/>
            </w:tcBorders>
            <w:vAlign w:val="center"/>
          </w:tcPr>
          <w:p w:rsidR="00366504" w:rsidRDefault="00EE11D1">
            <w:pPr>
              <w:widowControl/>
              <w:jc w:val="left"/>
              <w:rPr>
                <w:rFonts w:ascii="宋体" w:cs="宋体"/>
                <w:color w:val="000000"/>
                <w:kern w:val="0"/>
                <w:sz w:val="22"/>
              </w:rPr>
            </w:pPr>
            <w:r>
              <w:rPr>
                <w:rFonts w:ascii="宋体" w:hAnsi="宋体" w:cs="宋体" w:hint="eastAsia"/>
                <w:color w:val="000000"/>
                <w:kern w:val="0"/>
                <w:sz w:val="22"/>
              </w:rPr>
              <w:t>公务用车运行费</w:t>
            </w:r>
          </w:p>
        </w:tc>
        <w:tc>
          <w:tcPr>
            <w:tcW w:w="400" w:type="pct"/>
            <w:vMerge/>
            <w:tcBorders>
              <w:top w:val="nil"/>
              <w:left w:val="single" w:sz="4" w:space="0" w:color="auto"/>
              <w:bottom w:val="single" w:sz="4" w:space="0" w:color="000000"/>
              <w:right w:val="single" w:sz="4" w:space="0" w:color="auto"/>
            </w:tcBorders>
            <w:vAlign w:val="center"/>
          </w:tcPr>
          <w:p w:rsidR="00366504" w:rsidRDefault="00366504">
            <w:pPr>
              <w:widowControl/>
              <w:jc w:val="left"/>
              <w:rPr>
                <w:rFonts w:ascii="宋体" w:cs="宋体"/>
                <w:color w:val="000000"/>
                <w:kern w:val="0"/>
                <w:sz w:val="22"/>
              </w:rPr>
            </w:pPr>
          </w:p>
        </w:tc>
        <w:tc>
          <w:tcPr>
            <w:tcW w:w="470" w:type="pct"/>
            <w:vMerge/>
            <w:tcBorders>
              <w:top w:val="nil"/>
              <w:left w:val="single" w:sz="4" w:space="0" w:color="auto"/>
              <w:bottom w:val="single" w:sz="4" w:space="0" w:color="000000"/>
              <w:right w:val="single" w:sz="4" w:space="0" w:color="auto"/>
            </w:tcBorders>
            <w:vAlign w:val="center"/>
          </w:tcPr>
          <w:p w:rsidR="00366504" w:rsidRDefault="00366504">
            <w:pPr>
              <w:widowControl/>
              <w:jc w:val="left"/>
              <w:rPr>
                <w:rFonts w:ascii="宋体" w:cs="宋体"/>
                <w:color w:val="000000"/>
                <w:kern w:val="0"/>
                <w:sz w:val="22"/>
              </w:rPr>
            </w:pPr>
          </w:p>
        </w:tc>
        <w:tc>
          <w:tcPr>
            <w:tcW w:w="388" w:type="pct"/>
            <w:vMerge/>
            <w:tcBorders>
              <w:top w:val="nil"/>
              <w:left w:val="single" w:sz="4" w:space="0" w:color="auto"/>
              <w:bottom w:val="single" w:sz="4" w:space="0" w:color="000000"/>
              <w:right w:val="single" w:sz="4" w:space="0" w:color="auto"/>
            </w:tcBorders>
            <w:vAlign w:val="center"/>
          </w:tcPr>
          <w:p w:rsidR="00366504" w:rsidRDefault="00366504">
            <w:pPr>
              <w:widowControl/>
              <w:jc w:val="left"/>
              <w:rPr>
                <w:rFonts w:ascii="宋体" w:cs="宋体"/>
                <w:color w:val="000000"/>
                <w:kern w:val="0"/>
                <w:sz w:val="22"/>
              </w:rPr>
            </w:pPr>
          </w:p>
        </w:tc>
        <w:tc>
          <w:tcPr>
            <w:tcW w:w="423" w:type="pct"/>
            <w:tcBorders>
              <w:top w:val="nil"/>
              <w:left w:val="nil"/>
              <w:bottom w:val="single" w:sz="4" w:space="0" w:color="auto"/>
              <w:right w:val="single" w:sz="4" w:space="0" w:color="auto"/>
            </w:tcBorders>
            <w:vAlign w:val="center"/>
          </w:tcPr>
          <w:p w:rsidR="00366504" w:rsidRDefault="00EE11D1">
            <w:pPr>
              <w:widowControl/>
              <w:jc w:val="left"/>
              <w:rPr>
                <w:rFonts w:ascii="宋体" w:cs="宋体"/>
                <w:color w:val="000000"/>
                <w:kern w:val="0"/>
                <w:sz w:val="22"/>
              </w:rPr>
            </w:pPr>
            <w:r>
              <w:rPr>
                <w:rFonts w:ascii="宋体" w:hAnsi="宋体" w:cs="宋体" w:hint="eastAsia"/>
                <w:color w:val="000000"/>
                <w:kern w:val="0"/>
                <w:sz w:val="22"/>
              </w:rPr>
              <w:t>小计</w:t>
            </w:r>
          </w:p>
        </w:tc>
        <w:tc>
          <w:tcPr>
            <w:tcW w:w="330" w:type="pct"/>
            <w:tcBorders>
              <w:top w:val="nil"/>
              <w:left w:val="nil"/>
              <w:bottom w:val="single" w:sz="4" w:space="0" w:color="auto"/>
              <w:right w:val="single" w:sz="4" w:space="0" w:color="auto"/>
            </w:tcBorders>
            <w:vAlign w:val="center"/>
          </w:tcPr>
          <w:p w:rsidR="00366504" w:rsidRDefault="00EE11D1">
            <w:pPr>
              <w:widowControl/>
              <w:jc w:val="left"/>
              <w:rPr>
                <w:rFonts w:ascii="宋体" w:cs="宋体"/>
                <w:color w:val="000000"/>
                <w:kern w:val="0"/>
                <w:sz w:val="22"/>
              </w:rPr>
            </w:pPr>
            <w:r>
              <w:rPr>
                <w:rFonts w:ascii="宋体" w:hAnsi="宋体" w:cs="宋体" w:hint="eastAsia"/>
                <w:color w:val="000000"/>
                <w:kern w:val="0"/>
                <w:sz w:val="22"/>
              </w:rPr>
              <w:t>公务用车购置</w:t>
            </w:r>
          </w:p>
        </w:tc>
        <w:tc>
          <w:tcPr>
            <w:tcW w:w="570" w:type="pct"/>
            <w:tcBorders>
              <w:top w:val="nil"/>
              <w:left w:val="nil"/>
              <w:bottom w:val="single" w:sz="4" w:space="0" w:color="auto"/>
              <w:right w:val="single" w:sz="4" w:space="0" w:color="auto"/>
            </w:tcBorders>
            <w:vAlign w:val="center"/>
          </w:tcPr>
          <w:p w:rsidR="00366504" w:rsidRDefault="00EE11D1">
            <w:pPr>
              <w:widowControl/>
              <w:jc w:val="left"/>
              <w:rPr>
                <w:rFonts w:ascii="宋体" w:cs="宋体"/>
                <w:color w:val="000000"/>
                <w:kern w:val="0"/>
                <w:sz w:val="22"/>
              </w:rPr>
            </w:pPr>
            <w:r>
              <w:rPr>
                <w:rFonts w:ascii="宋体" w:hAnsi="宋体" w:cs="宋体" w:hint="eastAsia"/>
                <w:color w:val="000000"/>
                <w:kern w:val="0"/>
                <w:sz w:val="22"/>
              </w:rPr>
              <w:t>公务用车运行费</w:t>
            </w:r>
          </w:p>
        </w:tc>
        <w:tc>
          <w:tcPr>
            <w:tcW w:w="224" w:type="pct"/>
            <w:vMerge/>
            <w:tcBorders>
              <w:top w:val="nil"/>
              <w:left w:val="single" w:sz="4" w:space="0" w:color="auto"/>
              <w:bottom w:val="single" w:sz="4" w:space="0" w:color="000000"/>
              <w:right w:val="single" w:sz="4" w:space="0" w:color="auto"/>
            </w:tcBorders>
            <w:vAlign w:val="center"/>
          </w:tcPr>
          <w:p w:rsidR="00366504" w:rsidRDefault="00366504">
            <w:pPr>
              <w:widowControl/>
              <w:jc w:val="left"/>
              <w:rPr>
                <w:rFonts w:ascii="宋体" w:cs="宋体"/>
                <w:color w:val="000000"/>
                <w:kern w:val="0"/>
                <w:sz w:val="22"/>
              </w:rPr>
            </w:pPr>
          </w:p>
        </w:tc>
      </w:tr>
      <w:tr w:rsidR="00366504">
        <w:trPr>
          <w:trHeight w:val="633"/>
        </w:trPr>
        <w:tc>
          <w:tcPr>
            <w:tcW w:w="509" w:type="pct"/>
            <w:tcBorders>
              <w:top w:val="nil"/>
              <w:left w:val="single" w:sz="4" w:space="0" w:color="auto"/>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color w:val="000000"/>
                <w:kern w:val="0"/>
                <w:sz w:val="22"/>
              </w:rPr>
              <w:t>1</w:t>
            </w:r>
          </w:p>
        </w:tc>
        <w:tc>
          <w:tcPr>
            <w:tcW w:w="385"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color w:val="000000"/>
                <w:kern w:val="0"/>
                <w:sz w:val="22"/>
              </w:rPr>
              <w:t>2</w:t>
            </w:r>
          </w:p>
        </w:tc>
        <w:tc>
          <w:tcPr>
            <w:tcW w:w="423"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color w:val="000000"/>
                <w:kern w:val="0"/>
                <w:sz w:val="22"/>
              </w:rPr>
              <w:t>3</w:t>
            </w:r>
          </w:p>
        </w:tc>
        <w:tc>
          <w:tcPr>
            <w:tcW w:w="334"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color w:val="000000"/>
                <w:kern w:val="0"/>
                <w:sz w:val="22"/>
              </w:rPr>
              <w:t>4</w:t>
            </w:r>
          </w:p>
        </w:tc>
        <w:tc>
          <w:tcPr>
            <w:tcW w:w="544"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color w:val="000000"/>
                <w:kern w:val="0"/>
                <w:sz w:val="22"/>
              </w:rPr>
              <w:t>5</w:t>
            </w:r>
          </w:p>
        </w:tc>
        <w:tc>
          <w:tcPr>
            <w:tcW w:w="400"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color w:val="000000"/>
                <w:kern w:val="0"/>
                <w:sz w:val="22"/>
              </w:rPr>
              <w:t>6</w:t>
            </w:r>
          </w:p>
        </w:tc>
        <w:tc>
          <w:tcPr>
            <w:tcW w:w="470"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color w:val="000000"/>
                <w:kern w:val="0"/>
                <w:sz w:val="22"/>
              </w:rPr>
              <w:t>7</w:t>
            </w:r>
          </w:p>
        </w:tc>
        <w:tc>
          <w:tcPr>
            <w:tcW w:w="388"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color w:val="000000"/>
                <w:kern w:val="0"/>
                <w:sz w:val="22"/>
              </w:rPr>
              <w:t>8</w:t>
            </w:r>
          </w:p>
        </w:tc>
        <w:tc>
          <w:tcPr>
            <w:tcW w:w="423"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color w:val="000000"/>
                <w:kern w:val="0"/>
                <w:sz w:val="22"/>
              </w:rPr>
              <w:t>9</w:t>
            </w:r>
          </w:p>
        </w:tc>
        <w:tc>
          <w:tcPr>
            <w:tcW w:w="330"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color w:val="000000"/>
                <w:kern w:val="0"/>
                <w:sz w:val="22"/>
              </w:rPr>
              <w:t>10</w:t>
            </w:r>
          </w:p>
        </w:tc>
        <w:tc>
          <w:tcPr>
            <w:tcW w:w="570"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color w:val="000000"/>
                <w:kern w:val="0"/>
                <w:sz w:val="22"/>
              </w:rPr>
              <w:t>11</w:t>
            </w:r>
          </w:p>
        </w:tc>
        <w:tc>
          <w:tcPr>
            <w:tcW w:w="224"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color w:val="000000"/>
                <w:kern w:val="0"/>
                <w:sz w:val="22"/>
              </w:rPr>
              <w:t>12</w:t>
            </w:r>
          </w:p>
        </w:tc>
      </w:tr>
      <w:tr w:rsidR="00366504">
        <w:trPr>
          <w:trHeight w:val="687"/>
        </w:trPr>
        <w:tc>
          <w:tcPr>
            <w:tcW w:w="509" w:type="pct"/>
            <w:tcBorders>
              <w:top w:val="nil"/>
              <w:left w:val="single" w:sz="4" w:space="0" w:color="auto"/>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color w:val="000000"/>
                <w:kern w:val="0"/>
                <w:sz w:val="22"/>
              </w:rPr>
              <w:t>234.75</w:t>
            </w:r>
          </w:p>
        </w:tc>
        <w:tc>
          <w:tcPr>
            <w:tcW w:w="385"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cs="宋体"/>
                <w:color w:val="000000"/>
                <w:kern w:val="0"/>
                <w:sz w:val="22"/>
              </w:rPr>
              <w:t>0</w:t>
            </w:r>
          </w:p>
        </w:tc>
        <w:tc>
          <w:tcPr>
            <w:tcW w:w="423"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color w:val="000000"/>
                <w:kern w:val="0"/>
                <w:sz w:val="22"/>
              </w:rPr>
              <w:t>210</w:t>
            </w:r>
          </w:p>
        </w:tc>
        <w:tc>
          <w:tcPr>
            <w:tcW w:w="334"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cs="宋体"/>
                <w:color w:val="000000"/>
                <w:kern w:val="0"/>
                <w:sz w:val="22"/>
              </w:rPr>
              <w:t>0</w:t>
            </w:r>
          </w:p>
        </w:tc>
        <w:tc>
          <w:tcPr>
            <w:tcW w:w="544"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color w:val="000000"/>
                <w:kern w:val="0"/>
                <w:sz w:val="22"/>
              </w:rPr>
              <w:t>210</w:t>
            </w:r>
          </w:p>
        </w:tc>
        <w:tc>
          <w:tcPr>
            <w:tcW w:w="400"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color w:val="000000"/>
                <w:kern w:val="0"/>
                <w:sz w:val="22"/>
              </w:rPr>
              <w:t>24.75</w:t>
            </w:r>
          </w:p>
        </w:tc>
        <w:tc>
          <w:tcPr>
            <w:tcW w:w="470"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color w:val="000000"/>
                <w:kern w:val="0"/>
                <w:sz w:val="22"/>
              </w:rPr>
              <w:t>210.4</w:t>
            </w:r>
          </w:p>
        </w:tc>
        <w:tc>
          <w:tcPr>
            <w:tcW w:w="388"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cs="宋体"/>
                <w:color w:val="000000"/>
                <w:kern w:val="0"/>
                <w:sz w:val="22"/>
              </w:rPr>
              <w:t>0</w:t>
            </w:r>
          </w:p>
        </w:tc>
        <w:tc>
          <w:tcPr>
            <w:tcW w:w="423"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color w:val="000000"/>
                <w:kern w:val="0"/>
                <w:sz w:val="22"/>
              </w:rPr>
              <w:t>209.17</w:t>
            </w:r>
          </w:p>
        </w:tc>
        <w:tc>
          <w:tcPr>
            <w:tcW w:w="330" w:type="pct"/>
            <w:tcBorders>
              <w:top w:val="nil"/>
              <w:left w:val="nil"/>
              <w:bottom w:val="single" w:sz="4" w:space="0" w:color="auto"/>
              <w:right w:val="single" w:sz="4" w:space="0" w:color="auto"/>
            </w:tcBorders>
            <w:noWrap/>
            <w:vAlign w:val="center"/>
          </w:tcPr>
          <w:p w:rsidR="00366504" w:rsidRDefault="00366504">
            <w:pPr>
              <w:widowControl/>
              <w:jc w:val="center"/>
              <w:rPr>
                <w:rFonts w:ascii="宋体" w:cs="宋体"/>
                <w:color w:val="000000"/>
                <w:kern w:val="0"/>
                <w:sz w:val="22"/>
              </w:rPr>
            </w:pPr>
          </w:p>
        </w:tc>
        <w:tc>
          <w:tcPr>
            <w:tcW w:w="570"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color w:val="000000"/>
                <w:kern w:val="0"/>
                <w:sz w:val="22"/>
              </w:rPr>
              <w:t>209.17</w:t>
            </w:r>
          </w:p>
        </w:tc>
        <w:tc>
          <w:tcPr>
            <w:tcW w:w="224" w:type="pct"/>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2"/>
              </w:rPr>
            </w:pPr>
            <w:r>
              <w:rPr>
                <w:rFonts w:ascii="宋体" w:hAnsi="宋体" w:cs="宋体"/>
                <w:color w:val="000000"/>
                <w:kern w:val="0"/>
                <w:sz w:val="22"/>
              </w:rPr>
              <w:t>1.22</w:t>
            </w:r>
          </w:p>
        </w:tc>
      </w:tr>
      <w:tr w:rsidR="00366504">
        <w:trPr>
          <w:trHeight w:val="270"/>
        </w:trPr>
        <w:tc>
          <w:tcPr>
            <w:tcW w:w="509"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385"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423"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334"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544"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400"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470"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388"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423"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330"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570"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c>
          <w:tcPr>
            <w:tcW w:w="224" w:type="pct"/>
            <w:tcBorders>
              <w:top w:val="nil"/>
              <w:left w:val="nil"/>
              <w:bottom w:val="nil"/>
              <w:right w:val="nil"/>
            </w:tcBorders>
            <w:noWrap/>
            <w:vAlign w:val="center"/>
          </w:tcPr>
          <w:p w:rsidR="00366504" w:rsidRDefault="00366504">
            <w:pPr>
              <w:widowControl/>
              <w:jc w:val="left"/>
              <w:rPr>
                <w:rFonts w:ascii="宋体" w:cs="宋体"/>
                <w:color w:val="000000"/>
                <w:kern w:val="0"/>
                <w:sz w:val="22"/>
              </w:rPr>
            </w:pPr>
          </w:p>
        </w:tc>
      </w:tr>
    </w:tbl>
    <w:p w:rsidR="00366504" w:rsidRDefault="00EE11D1">
      <w:pPr>
        <w:spacing w:line="520" w:lineRule="exact"/>
        <w:ind w:firstLineChars="200" w:firstLine="640"/>
        <w:jc w:val="left"/>
        <w:outlineLvl w:val="0"/>
        <w:rPr>
          <w:rFonts w:ascii="黑体" w:eastAsia="黑体" w:hAnsi="黑体"/>
          <w:sz w:val="32"/>
          <w:szCs w:val="32"/>
        </w:rPr>
      </w:pPr>
      <w:r>
        <w:rPr>
          <w:rFonts w:ascii="仿宋" w:eastAsia="仿宋" w:hAnsi="仿宋" w:cs="宋体" w:hint="eastAsia"/>
          <w:color w:val="000000"/>
          <w:kern w:val="0"/>
          <w:sz w:val="32"/>
          <w:szCs w:val="32"/>
        </w:rPr>
        <w:t>说明：</w:t>
      </w:r>
      <w:r>
        <w:rPr>
          <w:rFonts w:ascii="仿宋" w:eastAsia="仿宋" w:hAnsi="仿宋" w:cs="宋体"/>
          <w:color w:val="000000"/>
          <w:kern w:val="0"/>
          <w:sz w:val="32"/>
          <w:szCs w:val="32"/>
        </w:rPr>
        <w:t>1</w:t>
      </w:r>
      <w:r>
        <w:rPr>
          <w:rFonts w:ascii="仿宋" w:eastAsia="仿宋" w:hAnsi="仿宋" w:cs="宋体" w:hint="eastAsia"/>
          <w:color w:val="000000"/>
          <w:kern w:val="0"/>
          <w:sz w:val="32"/>
          <w:szCs w:val="32"/>
        </w:rPr>
        <w:t>、因公出国（境）团组数及人数共计</w:t>
      </w:r>
      <w:r>
        <w:rPr>
          <w:rFonts w:ascii="仿宋" w:eastAsia="仿宋" w:hAnsi="仿宋" w:cs="宋体"/>
          <w:color w:val="000000"/>
          <w:kern w:val="0"/>
          <w:sz w:val="32"/>
          <w:szCs w:val="32"/>
        </w:rPr>
        <w:t>0</w:t>
      </w:r>
      <w:r>
        <w:rPr>
          <w:rFonts w:ascii="仿宋" w:eastAsia="仿宋" w:hAnsi="仿宋" w:cs="宋体" w:hint="eastAsia"/>
          <w:color w:val="000000"/>
          <w:kern w:val="0"/>
          <w:sz w:val="32"/>
          <w:szCs w:val="32"/>
        </w:rPr>
        <w:t>人；</w:t>
      </w:r>
      <w:r>
        <w:rPr>
          <w:rFonts w:ascii="仿宋" w:eastAsia="仿宋" w:hAnsi="仿宋" w:cs="宋体"/>
          <w:color w:val="000000"/>
          <w:kern w:val="0"/>
          <w:sz w:val="32"/>
          <w:szCs w:val="32"/>
        </w:rPr>
        <w:t>2</w:t>
      </w:r>
      <w:r>
        <w:rPr>
          <w:rFonts w:ascii="仿宋" w:eastAsia="仿宋" w:hAnsi="仿宋" w:cs="宋体" w:hint="eastAsia"/>
          <w:color w:val="000000"/>
          <w:kern w:val="0"/>
          <w:sz w:val="32"/>
          <w:szCs w:val="32"/>
        </w:rPr>
        <w:t>、无公务用车购置数；公务用车运行费</w:t>
      </w:r>
      <w:r>
        <w:rPr>
          <w:rFonts w:ascii="仿宋" w:eastAsia="仿宋" w:hAnsi="仿宋" w:cs="宋体"/>
          <w:color w:val="000000"/>
          <w:kern w:val="0"/>
          <w:sz w:val="32"/>
          <w:szCs w:val="32"/>
        </w:rPr>
        <w:t>209.17</w:t>
      </w:r>
      <w:r>
        <w:rPr>
          <w:rFonts w:ascii="仿宋" w:eastAsia="仿宋" w:hAnsi="仿宋" w:cs="宋体" w:hint="eastAsia"/>
          <w:color w:val="000000"/>
          <w:kern w:val="0"/>
          <w:sz w:val="32"/>
          <w:szCs w:val="32"/>
        </w:rPr>
        <w:t>万元；</w:t>
      </w:r>
      <w:r>
        <w:rPr>
          <w:rFonts w:ascii="仿宋" w:eastAsia="仿宋" w:hAnsi="仿宋" w:cs="宋体"/>
          <w:color w:val="000000"/>
          <w:kern w:val="0"/>
          <w:sz w:val="32"/>
          <w:szCs w:val="32"/>
        </w:rPr>
        <w:t>3</w:t>
      </w:r>
      <w:r>
        <w:rPr>
          <w:rFonts w:ascii="仿宋" w:eastAsia="仿宋" w:hAnsi="仿宋" w:cs="宋体" w:hint="eastAsia"/>
          <w:color w:val="000000"/>
          <w:kern w:val="0"/>
          <w:sz w:val="32"/>
          <w:szCs w:val="32"/>
        </w:rPr>
        <w:t>、国内公务接待批次</w:t>
      </w:r>
      <w:r>
        <w:rPr>
          <w:rFonts w:ascii="仿宋" w:eastAsia="仿宋" w:hAnsi="仿宋" w:cs="宋体"/>
          <w:color w:val="000000"/>
          <w:kern w:val="0"/>
          <w:sz w:val="32"/>
          <w:szCs w:val="32"/>
        </w:rPr>
        <w:t>23</w:t>
      </w:r>
      <w:r>
        <w:rPr>
          <w:rFonts w:ascii="仿宋" w:eastAsia="仿宋" w:hAnsi="仿宋" w:cs="宋体" w:hint="eastAsia"/>
          <w:color w:val="000000"/>
          <w:kern w:val="0"/>
          <w:sz w:val="32"/>
          <w:szCs w:val="32"/>
        </w:rPr>
        <w:t>次，接待人数</w:t>
      </w:r>
      <w:r>
        <w:rPr>
          <w:rFonts w:ascii="仿宋" w:eastAsia="仿宋" w:hAnsi="仿宋" w:cs="宋体"/>
          <w:color w:val="000000"/>
          <w:kern w:val="0"/>
          <w:sz w:val="32"/>
          <w:szCs w:val="32"/>
        </w:rPr>
        <w:t>231</w:t>
      </w:r>
      <w:r>
        <w:rPr>
          <w:rFonts w:ascii="仿宋" w:eastAsia="仿宋" w:hAnsi="仿宋" w:cs="宋体" w:hint="eastAsia"/>
          <w:color w:val="000000"/>
          <w:kern w:val="0"/>
          <w:sz w:val="32"/>
          <w:szCs w:val="32"/>
        </w:rPr>
        <w:t>人，公务接待费</w:t>
      </w:r>
      <w:r>
        <w:rPr>
          <w:rFonts w:ascii="仿宋" w:eastAsia="仿宋" w:hAnsi="仿宋" w:cs="宋体"/>
          <w:color w:val="000000"/>
          <w:kern w:val="0"/>
          <w:sz w:val="32"/>
          <w:szCs w:val="32"/>
        </w:rPr>
        <w:t>1.22</w:t>
      </w:r>
      <w:r>
        <w:rPr>
          <w:rFonts w:ascii="仿宋" w:eastAsia="仿宋" w:hAnsi="仿宋" w:cs="宋体" w:hint="eastAsia"/>
          <w:color w:val="000000"/>
          <w:kern w:val="0"/>
          <w:sz w:val="32"/>
          <w:szCs w:val="32"/>
        </w:rPr>
        <w:t>万元。</w:t>
      </w:r>
      <w:r>
        <w:rPr>
          <w:rFonts w:ascii="仿宋" w:eastAsia="仿宋" w:hAnsi="仿宋" w:cs="宋体"/>
          <w:color w:val="000000"/>
          <w:kern w:val="0"/>
          <w:sz w:val="32"/>
          <w:szCs w:val="32"/>
        </w:rPr>
        <w:t>4</w:t>
      </w:r>
      <w:r>
        <w:rPr>
          <w:rFonts w:ascii="仿宋" w:eastAsia="仿宋" w:hAnsi="仿宋" w:cs="宋体" w:hint="eastAsia"/>
          <w:color w:val="000000"/>
          <w:kern w:val="0"/>
          <w:sz w:val="32"/>
          <w:szCs w:val="32"/>
        </w:rPr>
        <w:t>、预算数包括当年财政拨款预算和以前年度结转结余资金，决算数包括当年财政拨款预算和以前年度结转结余资金安排的实际支出，保定市公安局</w:t>
      </w:r>
      <w:r>
        <w:rPr>
          <w:rFonts w:ascii="仿宋" w:eastAsia="仿宋" w:hAnsi="仿宋" w:cs="宋体"/>
          <w:color w:val="000000"/>
          <w:kern w:val="0"/>
          <w:sz w:val="32"/>
          <w:szCs w:val="32"/>
        </w:rPr>
        <w:t>2017</w:t>
      </w:r>
      <w:r>
        <w:rPr>
          <w:rFonts w:ascii="仿宋" w:eastAsia="仿宋" w:hAnsi="仿宋" w:cs="宋体" w:hint="eastAsia"/>
          <w:color w:val="000000"/>
          <w:kern w:val="0"/>
          <w:sz w:val="32"/>
          <w:szCs w:val="32"/>
        </w:rPr>
        <w:t>年“三公”经费决算全部在预算内执行，无超预算支出“三公”经费行为。我局三</w:t>
      </w:r>
      <w:proofErr w:type="gramStart"/>
      <w:r>
        <w:rPr>
          <w:rFonts w:ascii="仿宋" w:eastAsia="仿宋" w:hAnsi="仿宋" w:cs="宋体" w:hint="eastAsia"/>
          <w:color w:val="000000"/>
          <w:kern w:val="0"/>
          <w:sz w:val="32"/>
          <w:szCs w:val="32"/>
        </w:rPr>
        <w:t>公经费</w:t>
      </w:r>
      <w:proofErr w:type="gramEnd"/>
      <w:r>
        <w:rPr>
          <w:rFonts w:ascii="仿宋" w:eastAsia="仿宋" w:hAnsi="仿宋" w:cs="宋体" w:hint="eastAsia"/>
          <w:color w:val="000000"/>
          <w:kern w:val="0"/>
          <w:sz w:val="32"/>
          <w:szCs w:val="32"/>
        </w:rPr>
        <w:t>公车运行维护费及公务接待费均低于年初预算，原因为年度公务用车、公务接待活动量低于预期。</w:t>
      </w:r>
      <w:r>
        <w:rPr>
          <w:rFonts w:ascii="黑体" w:eastAsia="黑体" w:hAnsi="黑体"/>
          <w:sz w:val="32"/>
          <w:szCs w:val="32"/>
        </w:rPr>
        <w:t xml:space="preserve"> </w:t>
      </w:r>
    </w:p>
    <w:tbl>
      <w:tblPr>
        <w:tblW w:w="5000" w:type="pct"/>
        <w:tblLook w:val="04A0" w:firstRow="1" w:lastRow="0" w:firstColumn="1" w:lastColumn="0" w:noHBand="0" w:noVBand="1"/>
      </w:tblPr>
      <w:tblGrid>
        <w:gridCol w:w="2136"/>
        <w:gridCol w:w="1717"/>
        <w:gridCol w:w="1717"/>
        <w:gridCol w:w="1177"/>
        <w:gridCol w:w="3108"/>
      </w:tblGrid>
      <w:tr w:rsidR="00366504">
        <w:trPr>
          <w:trHeight w:val="405"/>
        </w:trPr>
        <w:tc>
          <w:tcPr>
            <w:tcW w:w="5000" w:type="pct"/>
            <w:gridSpan w:val="5"/>
            <w:tcBorders>
              <w:top w:val="nil"/>
              <w:left w:val="nil"/>
              <w:bottom w:val="nil"/>
              <w:right w:val="nil"/>
            </w:tcBorders>
            <w:noWrap/>
            <w:vAlign w:val="center"/>
          </w:tcPr>
          <w:p w:rsidR="00366504" w:rsidRDefault="00EE11D1">
            <w:pPr>
              <w:widowControl/>
              <w:spacing w:line="520" w:lineRule="exact"/>
              <w:jc w:val="center"/>
              <w:rPr>
                <w:rFonts w:ascii="黑体" w:eastAsia="黑体" w:hAnsi="黑体" w:cs="宋体"/>
                <w:kern w:val="0"/>
                <w:sz w:val="32"/>
                <w:szCs w:val="32"/>
              </w:rPr>
            </w:pPr>
            <w:r>
              <w:rPr>
                <w:rFonts w:ascii="黑体" w:eastAsia="黑体" w:hAnsi="黑体"/>
                <w:sz w:val="32"/>
                <w:szCs w:val="32"/>
              </w:rPr>
              <w:t>2016</w:t>
            </w:r>
            <w:r>
              <w:rPr>
                <w:rFonts w:ascii="黑体" w:eastAsia="黑体" w:hAnsi="黑体" w:hint="eastAsia"/>
                <w:sz w:val="32"/>
                <w:szCs w:val="32"/>
              </w:rPr>
              <w:t>年与</w:t>
            </w:r>
            <w:r>
              <w:rPr>
                <w:rFonts w:ascii="黑体" w:eastAsia="黑体" w:hAnsi="黑体"/>
                <w:sz w:val="32"/>
                <w:szCs w:val="32"/>
              </w:rPr>
              <w:t>2017</w:t>
            </w:r>
            <w:r>
              <w:rPr>
                <w:rFonts w:ascii="黑体" w:eastAsia="黑体" w:hAnsi="黑体" w:hint="eastAsia"/>
                <w:sz w:val="32"/>
                <w:szCs w:val="32"/>
              </w:rPr>
              <w:t>年“三公”经费决算对比情况及说明</w:t>
            </w:r>
          </w:p>
        </w:tc>
      </w:tr>
      <w:tr w:rsidR="00366504">
        <w:trPr>
          <w:trHeight w:val="221"/>
        </w:trPr>
        <w:tc>
          <w:tcPr>
            <w:tcW w:w="1084" w:type="pct"/>
            <w:tcBorders>
              <w:top w:val="nil"/>
              <w:left w:val="nil"/>
              <w:bottom w:val="nil"/>
              <w:right w:val="nil"/>
            </w:tcBorders>
            <w:noWrap/>
            <w:vAlign w:val="center"/>
          </w:tcPr>
          <w:p w:rsidR="00366504" w:rsidRDefault="00366504">
            <w:pPr>
              <w:widowControl/>
              <w:jc w:val="left"/>
              <w:rPr>
                <w:rFonts w:ascii="宋体" w:cs="宋体"/>
                <w:kern w:val="0"/>
                <w:sz w:val="24"/>
                <w:szCs w:val="24"/>
              </w:rPr>
            </w:pPr>
          </w:p>
        </w:tc>
        <w:tc>
          <w:tcPr>
            <w:tcW w:w="871" w:type="pct"/>
            <w:tcBorders>
              <w:top w:val="nil"/>
              <w:left w:val="nil"/>
              <w:bottom w:val="nil"/>
              <w:right w:val="nil"/>
            </w:tcBorders>
            <w:noWrap/>
            <w:vAlign w:val="center"/>
          </w:tcPr>
          <w:p w:rsidR="00366504" w:rsidRDefault="00366504">
            <w:pPr>
              <w:widowControl/>
              <w:jc w:val="left"/>
              <w:rPr>
                <w:rFonts w:ascii="宋体" w:cs="宋体"/>
                <w:kern w:val="0"/>
                <w:sz w:val="24"/>
                <w:szCs w:val="24"/>
              </w:rPr>
            </w:pPr>
          </w:p>
        </w:tc>
        <w:tc>
          <w:tcPr>
            <w:tcW w:w="871" w:type="pct"/>
            <w:tcBorders>
              <w:top w:val="nil"/>
              <w:left w:val="nil"/>
              <w:bottom w:val="nil"/>
              <w:right w:val="nil"/>
            </w:tcBorders>
            <w:noWrap/>
            <w:vAlign w:val="center"/>
          </w:tcPr>
          <w:p w:rsidR="00366504" w:rsidRDefault="00366504">
            <w:pPr>
              <w:widowControl/>
              <w:jc w:val="left"/>
              <w:rPr>
                <w:rFonts w:ascii="宋体" w:cs="宋体"/>
                <w:kern w:val="0"/>
                <w:sz w:val="24"/>
                <w:szCs w:val="24"/>
              </w:rPr>
            </w:pPr>
          </w:p>
        </w:tc>
        <w:tc>
          <w:tcPr>
            <w:tcW w:w="597" w:type="pct"/>
            <w:tcBorders>
              <w:top w:val="nil"/>
              <w:left w:val="nil"/>
              <w:bottom w:val="nil"/>
              <w:right w:val="nil"/>
            </w:tcBorders>
            <w:noWrap/>
            <w:vAlign w:val="center"/>
          </w:tcPr>
          <w:p w:rsidR="00366504" w:rsidRDefault="00366504">
            <w:pPr>
              <w:widowControl/>
              <w:jc w:val="left"/>
              <w:rPr>
                <w:rFonts w:ascii="宋体" w:cs="宋体"/>
                <w:kern w:val="0"/>
                <w:sz w:val="24"/>
                <w:szCs w:val="24"/>
              </w:rPr>
            </w:pPr>
          </w:p>
        </w:tc>
        <w:tc>
          <w:tcPr>
            <w:tcW w:w="1577" w:type="pct"/>
            <w:tcBorders>
              <w:top w:val="nil"/>
              <w:left w:val="nil"/>
              <w:bottom w:val="nil"/>
              <w:right w:val="nil"/>
            </w:tcBorders>
            <w:noWrap/>
            <w:vAlign w:val="center"/>
          </w:tcPr>
          <w:p w:rsidR="00366504" w:rsidRDefault="00EE11D1">
            <w:pPr>
              <w:widowControl/>
              <w:jc w:val="right"/>
              <w:rPr>
                <w:rFonts w:ascii="宋体" w:cs="宋体"/>
                <w:kern w:val="0"/>
                <w:sz w:val="24"/>
                <w:szCs w:val="24"/>
              </w:rPr>
            </w:pPr>
            <w:r>
              <w:rPr>
                <w:rFonts w:ascii="宋体" w:hAnsi="宋体" w:cs="宋体" w:hint="eastAsia"/>
                <w:kern w:val="0"/>
                <w:sz w:val="24"/>
                <w:szCs w:val="24"/>
              </w:rPr>
              <w:t>单位：万元</w:t>
            </w:r>
          </w:p>
        </w:tc>
      </w:tr>
      <w:tr w:rsidR="00366504">
        <w:trPr>
          <w:trHeight w:val="285"/>
        </w:trPr>
        <w:tc>
          <w:tcPr>
            <w:tcW w:w="1084" w:type="pct"/>
            <w:tcBorders>
              <w:top w:val="single" w:sz="4" w:space="0" w:color="auto"/>
              <w:left w:val="single" w:sz="4" w:space="0" w:color="auto"/>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项目名称</w:t>
            </w:r>
          </w:p>
        </w:tc>
        <w:tc>
          <w:tcPr>
            <w:tcW w:w="871" w:type="pct"/>
            <w:tcBorders>
              <w:top w:val="single" w:sz="4" w:space="0" w:color="auto"/>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2016</w:t>
            </w:r>
            <w:r>
              <w:rPr>
                <w:rFonts w:ascii="仿宋_GB2312" w:eastAsia="仿宋_GB2312" w:hAnsi="宋体" w:cs="宋体" w:hint="eastAsia"/>
                <w:kern w:val="0"/>
                <w:sz w:val="24"/>
                <w:szCs w:val="24"/>
              </w:rPr>
              <w:t>年度决算</w:t>
            </w:r>
          </w:p>
        </w:tc>
        <w:tc>
          <w:tcPr>
            <w:tcW w:w="871" w:type="pct"/>
            <w:tcBorders>
              <w:top w:val="single" w:sz="4" w:space="0" w:color="auto"/>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2017</w:t>
            </w:r>
            <w:r>
              <w:rPr>
                <w:rFonts w:ascii="仿宋_GB2312" w:eastAsia="仿宋_GB2312" w:hAnsi="宋体" w:cs="宋体" w:hint="eastAsia"/>
                <w:kern w:val="0"/>
                <w:sz w:val="24"/>
                <w:szCs w:val="24"/>
              </w:rPr>
              <w:t>年度决算</w:t>
            </w:r>
          </w:p>
        </w:tc>
        <w:tc>
          <w:tcPr>
            <w:tcW w:w="597" w:type="pct"/>
            <w:tcBorders>
              <w:top w:val="single" w:sz="4" w:space="0" w:color="auto"/>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增减金额</w:t>
            </w:r>
          </w:p>
        </w:tc>
        <w:tc>
          <w:tcPr>
            <w:tcW w:w="1577" w:type="pct"/>
            <w:tcBorders>
              <w:top w:val="single" w:sz="4" w:space="0" w:color="auto"/>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说明</w:t>
            </w:r>
          </w:p>
        </w:tc>
      </w:tr>
      <w:tr w:rsidR="00366504">
        <w:trPr>
          <w:trHeight w:val="285"/>
        </w:trPr>
        <w:tc>
          <w:tcPr>
            <w:tcW w:w="1084" w:type="pct"/>
            <w:tcBorders>
              <w:top w:val="nil"/>
              <w:left w:val="single" w:sz="4" w:space="0" w:color="auto"/>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因公出</w:t>
            </w:r>
            <w:proofErr w:type="gramStart"/>
            <w:r>
              <w:rPr>
                <w:rFonts w:ascii="仿宋_GB2312" w:eastAsia="仿宋_GB2312" w:hAnsi="宋体" w:cs="宋体" w:hint="eastAsia"/>
                <w:kern w:val="0"/>
                <w:sz w:val="24"/>
                <w:szCs w:val="24"/>
              </w:rPr>
              <w:t>国经费</w:t>
            </w:r>
            <w:proofErr w:type="gramEnd"/>
          </w:p>
        </w:tc>
        <w:tc>
          <w:tcPr>
            <w:tcW w:w="871" w:type="pct"/>
            <w:tcBorders>
              <w:top w:val="nil"/>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w:t>
            </w:r>
          </w:p>
        </w:tc>
        <w:tc>
          <w:tcPr>
            <w:tcW w:w="871" w:type="pct"/>
            <w:tcBorders>
              <w:top w:val="nil"/>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w:t>
            </w:r>
          </w:p>
        </w:tc>
        <w:tc>
          <w:tcPr>
            <w:tcW w:w="597" w:type="pct"/>
            <w:tcBorders>
              <w:top w:val="nil"/>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w:t>
            </w:r>
          </w:p>
        </w:tc>
        <w:tc>
          <w:tcPr>
            <w:tcW w:w="1577" w:type="pct"/>
            <w:tcBorders>
              <w:top w:val="nil"/>
              <w:left w:val="nil"/>
              <w:bottom w:val="single" w:sz="4" w:space="0" w:color="auto"/>
              <w:right w:val="single" w:sz="4" w:space="0" w:color="auto"/>
            </w:tcBorders>
            <w:vAlign w:val="center"/>
          </w:tcPr>
          <w:p w:rsidR="00366504" w:rsidRDefault="00EE11D1">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366504">
        <w:trPr>
          <w:trHeight w:val="285"/>
        </w:trPr>
        <w:tc>
          <w:tcPr>
            <w:tcW w:w="1084" w:type="pct"/>
            <w:tcBorders>
              <w:top w:val="nil"/>
              <w:left w:val="single" w:sz="4" w:space="0" w:color="auto"/>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公务用车购置经费</w:t>
            </w:r>
          </w:p>
        </w:tc>
        <w:tc>
          <w:tcPr>
            <w:tcW w:w="871" w:type="pct"/>
            <w:tcBorders>
              <w:top w:val="nil"/>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w:t>
            </w:r>
          </w:p>
        </w:tc>
        <w:tc>
          <w:tcPr>
            <w:tcW w:w="871" w:type="pct"/>
            <w:tcBorders>
              <w:top w:val="nil"/>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w:t>
            </w:r>
          </w:p>
        </w:tc>
        <w:tc>
          <w:tcPr>
            <w:tcW w:w="597" w:type="pct"/>
            <w:tcBorders>
              <w:top w:val="nil"/>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w:t>
            </w:r>
          </w:p>
        </w:tc>
        <w:tc>
          <w:tcPr>
            <w:tcW w:w="1577" w:type="pct"/>
            <w:tcBorders>
              <w:top w:val="nil"/>
              <w:left w:val="nil"/>
              <w:bottom w:val="single" w:sz="4" w:space="0" w:color="auto"/>
              <w:right w:val="single" w:sz="4" w:space="0" w:color="auto"/>
            </w:tcBorders>
            <w:vAlign w:val="center"/>
          </w:tcPr>
          <w:p w:rsidR="00366504" w:rsidRDefault="00EE11D1">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366504">
        <w:trPr>
          <w:trHeight w:val="570"/>
        </w:trPr>
        <w:tc>
          <w:tcPr>
            <w:tcW w:w="1084" w:type="pct"/>
            <w:tcBorders>
              <w:top w:val="nil"/>
              <w:left w:val="single" w:sz="4" w:space="0" w:color="auto"/>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公务用车运行经费</w:t>
            </w:r>
          </w:p>
        </w:tc>
        <w:tc>
          <w:tcPr>
            <w:tcW w:w="871" w:type="pct"/>
            <w:tcBorders>
              <w:top w:val="nil"/>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95.9</w:t>
            </w:r>
          </w:p>
        </w:tc>
        <w:tc>
          <w:tcPr>
            <w:tcW w:w="871" w:type="pct"/>
            <w:tcBorders>
              <w:top w:val="nil"/>
              <w:left w:val="nil"/>
              <w:bottom w:val="single" w:sz="4" w:space="0" w:color="auto"/>
              <w:right w:val="single" w:sz="4" w:space="0" w:color="auto"/>
            </w:tcBorders>
            <w:noWrap/>
          </w:tcPr>
          <w:p w:rsidR="00366504" w:rsidRDefault="00EE11D1">
            <w:pPr>
              <w:widowControl/>
              <w:jc w:val="center"/>
            </w:pPr>
            <w:r>
              <w:rPr>
                <w:rFonts w:ascii="仿宋_GB2312" w:eastAsia="仿宋_GB2312" w:hAnsi="宋体" w:cs="宋体"/>
                <w:kern w:val="0"/>
                <w:sz w:val="24"/>
                <w:szCs w:val="24"/>
              </w:rPr>
              <w:t>209.17</w:t>
            </w:r>
          </w:p>
        </w:tc>
        <w:tc>
          <w:tcPr>
            <w:tcW w:w="597" w:type="pct"/>
            <w:tcBorders>
              <w:top w:val="nil"/>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113.27</w:t>
            </w:r>
          </w:p>
        </w:tc>
        <w:tc>
          <w:tcPr>
            <w:tcW w:w="1577" w:type="pct"/>
            <w:tcBorders>
              <w:top w:val="nil"/>
              <w:left w:val="nil"/>
              <w:bottom w:val="single" w:sz="4" w:space="0" w:color="auto"/>
              <w:right w:val="single" w:sz="4" w:space="0" w:color="auto"/>
            </w:tcBorders>
            <w:vAlign w:val="center"/>
          </w:tcPr>
          <w:p w:rsidR="00366504" w:rsidRDefault="00EE11D1">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公务用车保障标准提高。</w:t>
            </w:r>
          </w:p>
        </w:tc>
      </w:tr>
      <w:tr w:rsidR="00366504">
        <w:trPr>
          <w:trHeight w:val="643"/>
        </w:trPr>
        <w:tc>
          <w:tcPr>
            <w:tcW w:w="1084" w:type="pct"/>
            <w:tcBorders>
              <w:top w:val="nil"/>
              <w:left w:val="single" w:sz="4" w:space="0" w:color="auto"/>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公务接待费支出</w:t>
            </w:r>
          </w:p>
        </w:tc>
        <w:tc>
          <w:tcPr>
            <w:tcW w:w="871" w:type="pct"/>
            <w:tcBorders>
              <w:top w:val="nil"/>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0.87</w:t>
            </w:r>
          </w:p>
        </w:tc>
        <w:tc>
          <w:tcPr>
            <w:tcW w:w="871" w:type="pct"/>
            <w:tcBorders>
              <w:top w:val="nil"/>
              <w:left w:val="nil"/>
              <w:bottom w:val="single" w:sz="4" w:space="0" w:color="auto"/>
              <w:right w:val="single" w:sz="4" w:space="0" w:color="auto"/>
            </w:tcBorders>
            <w:noWrap/>
          </w:tcPr>
          <w:p w:rsidR="00366504" w:rsidRDefault="00EE11D1">
            <w:r>
              <w:t>1.22</w:t>
            </w:r>
          </w:p>
        </w:tc>
        <w:tc>
          <w:tcPr>
            <w:tcW w:w="597" w:type="pct"/>
            <w:tcBorders>
              <w:top w:val="nil"/>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0.35</w:t>
            </w:r>
          </w:p>
        </w:tc>
        <w:tc>
          <w:tcPr>
            <w:tcW w:w="1577" w:type="pct"/>
            <w:tcBorders>
              <w:top w:val="nil"/>
              <w:left w:val="nil"/>
              <w:bottom w:val="single" w:sz="4" w:space="0" w:color="auto"/>
              <w:right w:val="single" w:sz="4" w:space="0" w:color="auto"/>
            </w:tcBorders>
            <w:vAlign w:val="center"/>
          </w:tcPr>
          <w:p w:rsidR="00366504" w:rsidRDefault="00EE11D1">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警务交流量较上年度增加</w:t>
            </w:r>
          </w:p>
        </w:tc>
      </w:tr>
      <w:tr w:rsidR="00366504">
        <w:trPr>
          <w:trHeight w:val="1140"/>
        </w:trPr>
        <w:tc>
          <w:tcPr>
            <w:tcW w:w="1084" w:type="pct"/>
            <w:tcBorders>
              <w:top w:val="nil"/>
              <w:left w:val="single" w:sz="4" w:space="0" w:color="auto"/>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合计</w:t>
            </w:r>
          </w:p>
        </w:tc>
        <w:tc>
          <w:tcPr>
            <w:tcW w:w="871" w:type="pct"/>
            <w:tcBorders>
              <w:top w:val="nil"/>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96.8</w:t>
            </w:r>
          </w:p>
        </w:tc>
        <w:tc>
          <w:tcPr>
            <w:tcW w:w="871" w:type="pct"/>
            <w:tcBorders>
              <w:top w:val="nil"/>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210.4</w:t>
            </w:r>
          </w:p>
        </w:tc>
        <w:tc>
          <w:tcPr>
            <w:tcW w:w="597" w:type="pct"/>
            <w:tcBorders>
              <w:top w:val="nil"/>
              <w:left w:val="nil"/>
              <w:bottom w:val="single" w:sz="4" w:space="0" w:color="auto"/>
              <w:right w:val="single" w:sz="4" w:space="0" w:color="auto"/>
            </w:tcBorders>
            <w:noWrap/>
            <w:vAlign w:val="center"/>
          </w:tcPr>
          <w:p w:rsidR="00366504" w:rsidRDefault="00EE11D1">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113.62</w:t>
            </w:r>
          </w:p>
        </w:tc>
        <w:tc>
          <w:tcPr>
            <w:tcW w:w="1577" w:type="pct"/>
            <w:tcBorders>
              <w:top w:val="nil"/>
              <w:left w:val="nil"/>
              <w:bottom w:val="single" w:sz="4" w:space="0" w:color="auto"/>
              <w:right w:val="single" w:sz="4" w:space="0" w:color="auto"/>
            </w:tcBorders>
            <w:vAlign w:val="center"/>
          </w:tcPr>
          <w:p w:rsidR="00366504" w:rsidRDefault="00EE11D1">
            <w:pPr>
              <w:widowControl/>
              <w:jc w:val="left"/>
              <w:rPr>
                <w:rFonts w:ascii="仿宋_GB2312" w:eastAsia="仿宋_GB2312" w:hAnsi="宋体" w:cs="宋体"/>
                <w:kern w:val="0"/>
                <w:sz w:val="24"/>
                <w:szCs w:val="24"/>
              </w:rPr>
            </w:pPr>
            <w:r>
              <w:rPr>
                <w:rFonts w:ascii="仿宋_GB2312" w:eastAsia="仿宋_GB2312" w:hAnsi="宋体" w:cs="宋体"/>
                <w:kern w:val="0"/>
                <w:sz w:val="24"/>
                <w:szCs w:val="24"/>
              </w:rPr>
              <w:t>2017</w:t>
            </w:r>
            <w:r>
              <w:rPr>
                <w:rFonts w:ascii="仿宋_GB2312" w:eastAsia="仿宋_GB2312" w:hAnsi="宋体" w:cs="宋体" w:hint="eastAsia"/>
                <w:kern w:val="0"/>
                <w:sz w:val="24"/>
                <w:szCs w:val="24"/>
              </w:rPr>
              <w:t>年，我局在认真执行中央八项规定，厉行节约，杜绝浪费的基础上，增加了十九大安保、警务交流等工作量及公务用车保障标准提高，从支出总量来讲，较</w:t>
            </w:r>
            <w:r>
              <w:rPr>
                <w:rFonts w:ascii="仿宋_GB2312" w:eastAsia="仿宋_GB2312" w:hAnsi="宋体" w:cs="宋体"/>
                <w:kern w:val="0"/>
                <w:sz w:val="24"/>
                <w:szCs w:val="24"/>
              </w:rPr>
              <w:t>2016</w:t>
            </w:r>
            <w:r>
              <w:rPr>
                <w:rFonts w:ascii="仿宋_GB2312" w:eastAsia="仿宋_GB2312" w:hAnsi="宋体" w:cs="宋体" w:hint="eastAsia"/>
                <w:kern w:val="0"/>
                <w:sz w:val="24"/>
                <w:szCs w:val="24"/>
              </w:rPr>
              <w:t>年相比增加了</w:t>
            </w:r>
            <w:r>
              <w:rPr>
                <w:rFonts w:ascii="仿宋_GB2312" w:eastAsia="仿宋_GB2312" w:hAnsi="宋体" w:cs="宋体"/>
                <w:kern w:val="0"/>
                <w:sz w:val="24"/>
                <w:szCs w:val="24"/>
              </w:rPr>
              <w:t>113,62</w:t>
            </w:r>
            <w:r>
              <w:rPr>
                <w:rFonts w:ascii="仿宋_GB2312" w:eastAsia="仿宋_GB2312" w:hAnsi="宋体" w:cs="宋体" w:hint="eastAsia"/>
                <w:kern w:val="0"/>
                <w:sz w:val="24"/>
                <w:szCs w:val="24"/>
              </w:rPr>
              <w:t>万元。</w:t>
            </w:r>
          </w:p>
        </w:tc>
      </w:tr>
      <w:tr w:rsidR="00366504">
        <w:trPr>
          <w:trHeight w:val="285"/>
        </w:trPr>
        <w:tc>
          <w:tcPr>
            <w:tcW w:w="1084" w:type="pct"/>
            <w:tcBorders>
              <w:top w:val="nil"/>
              <w:left w:val="nil"/>
              <w:bottom w:val="nil"/>
              <w:right w:val="nil"/>
            </w:tcBorders>
            <w:noWrap/>
            <w:vAlign w:val="center"/>
          </w:tcPr>
          <w:p w:rsidR="00366504" w:rsidRDefault="00366504">
            <w:pPr>
              <w:widowControl/>
              <w:jc w:val="left"/>
              <w:rPr>
                <w:rFonts w:ascii="宋体" w:cs="宋体"/>
                <w:kern w:val="0"/>
                <w:sz w:val="24"/>
                <w:szCs w:val="24"/>
              </w:rPr>
            </w:pPr>
          </w:p>
        </w:tc>
        <w:tc>
          <w:tcPr>
            <w:tcW w:w="871" w:type="pct"/>
            <w:tcBorders>
              <w:top w:val="nil"/>
              <w:left w:val="nil"/>
              <w:bottom w:val="nil"/>
              <w:right w:val="nil"/>
            </w:tcBorders>
            <w:noWrap/>
            <w:vAlign w:val="center"/>
          </w:tcPr>
          <w:p w:rsidR="00366504" w:rsidRDefault="00366504">
            <w:pPr>
              <w:widowControl/>
              <w:jc w:val="left"/>
              <w:rPr>
                <w:rFonts w:ascii="宋体" w:cs="宋体"/>
                <w:kern w:val="0"/>
                <w:sz w:val="24"/>
                <w:szCs w:val="24"/>
              </w:rPr>
            </w:pPr>
          </w:p>
        </w:tc>
        <w:tc>
          <w:tcPr>
            <w:tcW w:w="871" w:type="pct"/>
            <w:tcBorders>
              <w:top w:val="nil"/>
              <w:left w:val="nil"/>
              <w:bottom w:val="nil"/>
              <w:right w:val="nil"/>
            </w:tcBorders>
            <w:noWrap/>
            <w:vAlign w:val="center"/>
          </w:tcPr>
          <w:p w:rsidR="00366504" w:rsidRDefault="00366504">
            <w:pPr>
              <w:widowControl/>
              <w:jc w:val="left"/>
              <w:rPr>
                <w:rFonts w:ascii="宋体" w:cs="宋体"/>
                <w:kern w:val="0"/>
                <w:sz w:val="24"/>
                <w:szCs w:val="24"/>
              </w:rPr>
            </w:pPr>
          </w:p>
        </w:tc>
        <w:tc>
          <w:tcPr>
            <w:tcW w:w="597" w:type="pct"/>
            <w:tcBorders>
              <w:top w:val="nil"/>
              <w:left w:val="nil"/>
              <w:bottom w:val="nil"/>
              <w:right w:val="nil"/>
            </w:tcBorders>
            <w:noWrap/>
            <w:vAlign w:val="center"/>
          </w:tcPr>
          <w:p w:rsidR="00366504" w:rsidRDefault="00366504">
            <w:pPr>
              <w:widowControl/>
              <w:jc w:val="left"/>
              <w:rPr>
                <w:rFonts w:ascii="宋体" w:cs="宋体"/>
                <w:kern w:val="0"/>
                <w:sz w:val="24"/>
                <w:szCs w:val="24"/>
              </w:rPr>
            </w:pPr>
          </w:p>
        </w:tc>
        <w:tc>
          <w:tcPr>
            <w:tcW w:w="1577" w:type="pct"/>
            <w:tcBorders>
              <w:top w:val="nil"/>
              <w:left w:val="nil"/>
              <w:bottom w:val="nil"/>
              <w:right w:val="nil"/>
            </w:tcBorders>
            <w:noWrap/>
            <w:vAlign w:val="center"/>
          </w:tcPr>
          <w:p w:rsidR="00366504" w:rsidRDefault="00366504">
            <w:pPr>
              <w:widowControl/>
              <w:jc w:val="left"/>
              <w:rPr>
                <w:rFonts w:ascii="宋体" w:cs="宋体"/>
                <w:kern w:val="0"/>
                <w:sz w:val="24"/>
                <w:szCs w:val="24"/>
              </w:rPr>
            </w:pPr>
          </w:p>
        </w:tc>
      </w:tr>
    </w:tbl>
    <w:p w:rsidR="00366504" w:rsidRDefault="00EE11D1">
      <w:pPr>
        <w:ind w:firstLineChars="200" w:firstLine="640"/>
        <w:outlineLvl w:val="0"/>
        <w:rPr>
          <w:rFonts w:ascii="黑体" w:eastAsia="黑体" w:hAnsi="黑体"/>
          <w:b/>
          <w:sz w:val="32"/>
        </w:rPr>
      </w:pPr>
      <w:r>
        <w:rPr>
          <w:rFonts w:ascii="仿宋" w:eastAsia="仿宋" w:hAnsi="仿宋" w:cs="宋体" w:hint="eastAsia"/>
          <w:bCs/>
          <w:color w:val="000000"/>
          <w:kern w:val="0"/>
          <w:sz w:val="32"/>
          <w:szCs w:val="32"/>
        </w:rPr>
        <w:t>说明：</w:t>
      </w:r>
      <w:r>
        <w:rPr>
          <w:rFonts w:ascii="仿宋" w:eastAsia="仿宋" w:hAnsi="仿宋" w:cs="宋体"/>
          <w:bCs/>
          <w:color w:val="000000"/>
          <w:kern w:val="0"/>
          <w:sz w:val="32"/>
          <w:szCs w:val="32"/>
        </w:rPr>
        <w:t>2017</w:t>
      </w:r>
      <w:r>
        <w:rPr>
          <w:rFonts w:ascii="仿宋" w:eastAsia="仿宋" w:hAnsi="仿宋" w:cs="宋体" w:hint="eastAsia"/>
          <w:bCs/>
          <w:color w:val="000000"/>
          <w:kern w:val="0"/>
          <w:sz w:val="32"/>
          <w:szCs w:val="32"/>
        </w:rPr>
        <w:t>年保定市公安局严格执行八项规定，坚持标准提高厉行节约的原则，但随着十九大安保等各项公安工作量增加及公务用车经费保障标准提高，截止年底，“三公”经费支出总额比</w:t>
      </w:r>
      <w:r>
        <w:rPr>
          <w:rFonts w:ascii="仿宋" w:eastAsia="仿宋" w:hAnsi="仿宋" w:cs="宋体"/>
          <w:bCs/>
          <w:color w:val="000000"/>
          <w:kern w:val="0"/>
          <w:sz w:val="32"/>
          <w:szCs w:val="32"/>
        </w:rPr>
        <w:t>2016</w:t>
      </w:r>
      <w:r>
        <w:rPr>
          <w:rFonts w:ascii="仿宋" w:eastAsia="仿宋" w:hAnsi="仿宋" w:cs="宋体" w:hint="eastAsia"/>
          <w:bCs/>
          <w:color w:val="000000"/>
          <w:kern w:val="0"/>
          <w:sz w:val="32"/>
          <w:szCs w:val="32"/>
        </w:rPr>
        <w:t>年增加资金</w:t>
      </w:r>
      <w:r>
        <w:rPr>
          <w:rFonts w:ascii="仿宋" w:eastAsia="仿宋" w:hAnsi="仿宋" w:cs="宋体"/>
          <w:bCs/>
          <w:color w:val="000000"/>
          <w:kern w:val="0"/>
          <w:sz w:val="32"/>
          <w:szCs w:val="32"/>
        </w:rPr>
        <w:t>113.62</w:t>
      </w:r>
      <w:r>
        <w:rPr>
          <w:rFonts w:ascii="仿宋" w:eastAsia="仿宋" w:hAnsi="仿宋" w:cs="宋体" w:hint="eastAsia"/>
          <w:bCs/>
          <w:color w:val="000000"/>
          <w:kern w:val="0"/>
          <w:sz w:val="32"/>
          <w:szCs w:val="32"/>
        </w:rPr>
        <w:t>万元。</w:t>
      </w:r>
    </w:p>
    <w:p w:rsidR="00366504" w:rsidRDefault="00366504">
      <w:pPr>
        <w:jc w:val="center"/>
        <w:outlineLvl w:val="0"/>
        <w:rPr>
          <w:rFonts w:ascii="黑体" w:eastAsia="黑体" w:hAnsi="黑体"/>
          <w:sz w:val="32"/>
          <w:szCs w:val="32"/>
        </w:rPr>
      </w:pPr>
    </w:p>
    <w:p w:rsidR="00366504" w:rsidRDefault="00EE11D1">
      <w:pPr>
        <w:jc w:val="center"/>
        <w:outlineLvl w:val="0"/>
        <w:rPr>
          <w:rFonts w:ascii="黑体" w:eastAsia="黑体" w:hAnsi="黑体"/>
          <w:sz w:val="32"/>
          <w:szCs w:val="32"/>
        </w:rPr>
      </w:pPr>
      <w:r>
        <w:rPr>
          <w:rFonts w:ascii="黑体" w:eastAsia="黑体" w:hAnsi="黑体" w:hint="eastAsia"/>
          <w:sz w:val="32"/>
          <w:szCs w:val="32"/>
        </w:rPr>
        <w:t>第五部分：绩效决算信息</w:t>
      </w:r>
    </w:p>
    <w:p w:rsidR="00366504" w:rsidRDefault="00366504">
      <w:pPr>
        <w:jc w:val="center"/>
        <w:outlineLvl w:val="0"/>
        <w:rPr>
          <w:rFonts w:ascii="黑体" w:eastAsia="黑体" w:hAnsi="黑体"/>
          <w:sz w:val="32"/>
          <w:szCs w:val="32"/>
        </w:rPr>
      </w:pPr>
    </w:p>
    <w:p w:rsidR="00366504" w:rsidRDefault="00EE11D1">
      <w:pPr>
        <w:ind w:firstLineChars="200" w:firstLine="640"/>
        <w:jc w:val="left"/>
        <w:outlineLvl w:val="0"/>
        <w:rPr>
          <w:rFonts w:ascii="仿宋_GB2312" w:eastAsia="仿宋_GB2312" w:hAnsi="仿宋"/>
          <w:kern w:val="0"/>
          <w:sz w:val="32"/>
          <w:szCs w:val="32"/>
        </w:rPr>
      </w:pPr>
      <w:r>
        <w:rPr>
          <w:rFonts w:ascii="仿宋_GB2312" w:eastAsia="仿宋_GB2312" w:hAnsi="仿宋"/>
          <w:kern w:val="0"/>
          <w:sz w:val="32"/>
          <w:szCs w:val="32"/>
        </w:rPr>
        <w:t>2017</w:t>
      </w:r>
      <w:r>
        <w:rPr>
          <w:rFonts w:ascii="仿宋_GB2312" w:eastAsia="仿宋_GB2312" w:hAnsi="仿宋" w:hint="eastAsia"/>
          <w:kern w:val="0"/>
          <w:sz w:val="32"/>
          <w:szCs w:val="32"/>
        </w:rPr>
        <w:t>年保定市公安局严格按照年初部门预算的绩效目标开展工作，较好地完成了年初预算的各项绩效指标，年底通过绩效评价。</w:t>
      </w:r>
    </w:p>
    <w:p w:rsidR="00366504" w:rsidRDefault="00366504">
      <w:pPr>
        <w:jc w:val="center"/>
        <w:outlineLvl w:val="0"/>
        <w:rPr>
          <w:rFonts w:ascii="黑体" w:eastAsia="黑体" w:hAnsi="黑体"/>
          <w:sz w:val="32"/>
          <w:szCs w:val="32"/>
        </w:rPr>
      </w:pPr>
    </w:p>
    <w:p w:rsidR="00366504" w:rsidRDefault="00366504">
      <w:pPr>
        <w:jc w:val="center"/>
        <w:outlineLvl w:val="0"/>
        <w:rPr>
          <w:rFonts w:ascii="黑体" w:eastAsia="黑体" w:hAnsi="黑体"/>
          <w:sz w:val="32"/>
          <w:szCs w:val="32"/>
        </w:rPr>
      </w:pPr>
    </w:p>
    <w:p w:rsidR="00366504" w:rsidRDefault="00EE11D1">
      <w:pPr>
        <w:jc w:val="center"/>
        <w:outlineLvl w:val="0"/>
        <w:rPr>
          <w:rFonts w:ascii="黑体" w:eastAsia="黑体" w:hAnsi="黑体"/>
          <w:sz w:val="32"/>
          <w:szCs w:val="32"/>
        </w:rPr>
      </w:pPr>
      <w:r>
        <w:rPr>
          <w:rFonts w:ascii="黑体" w:eastAsia="黑体" w:hAnsi="黑体" w:hint="eastAsia"/>
          <w:sz w:val="32"/>
          <w:szCs w:val="32"/>
        </w:rPr>
        <w:t>第六部分：政府采购决算支出情况</w:t>
      </w:r>
    </w:p>
    <w:tbl>
      <w:tblPr>
        <w:tblW w:w="10314" w:type="dxa"/>
        <w:tblInd w:w="91" w:type="dxa"/>
        <w:tblLook w:val="04A0" w:firstRow="1" w:lastRow="0" w:firstColumn="1" w:lastColumn="0" w:noHBand="0" w:noVBand="1"/>
      </w:tblPr>
      <w:tblGrid>
        <w:gridCol w:w="1780"/>
        <w:gridCol w:w="1160"/>
        <w:gridCol w:w="1160"/>
        <w:gridCol w:w="1960"/>
        <w:gridCol w:w="1574"/>
        <w:gridCol w:w="1080"/>
        <w:gridCol w:w="1600"/>
      </w:tblGrid>
      <w:tr w:rsidR="00366504">
        <w:trPr>
          <w:trHeight w:val="540"/>
        </w:trPr>
        <w:tc>
          <w:tcPr>
            <w:tcW w:w="1780" w:type="dxa"/>
            <w:tcBorders>
              <w:top w:val="nil"/>
              <w:left w:val="nil"/>
              <w:bottom w:val="nil"/>
              <w:right w:val="nil"/>
            </w:tcBorders>
            <w:noWrap/>
            <w:vAlign w:val="bottom"/>
          </w:tcPr>
          <w:p w:rsidR="00366504" w:rsidRDefault="00366504">
            <w:pPr>
              <w:widowControl/>
              <w:jc w:val="left"/>
              <w:rPr>
                <w:rFonts w:ascii="Arial" w:hAnsi="Arial" w:cs="Arial"/>
                <w:color w:val="000000"/>
                <w:kern w:val="0"/>
                <w:sz w:val="20"/>
                <w:szCs w:val="20"/>
              </w:rPr>
            </w:pPr>
          </w:p>
        </w:tc>
        <w:tc>
          <w:tcPr>
            <w:tcW w:w="1160" w:type="dxa"/>
            <w:tcBorders>
              <w:top w:val="nil"/>
              <w:left w:val="nil"/>
              <w:bottom w:val="nil"/>
              <w:right w:val="nil"/>
            </w:tcBorders>
            <w:noWrap/>
            <w:vAlign w:val="bottom"/>
          </w:tcPr>
          <w:p w:rsidR="00366504" w:rsidRDefault="00366504">
            <w:pPr>
              <w:widowControl/>
              <w:jc w:val="left"/>
              <w:rPr>
                <w:rFonts w:ascii="Arial" w:hAnsi="Arial" w:cs="Arial"/>
                <w:color w:val="000000"/>
                <w:kern w:val="0"/>
                <w:sz w:val="20"/>
                <w:szCs w:val="20"/>
              </w:rPr>
            </w:pPr>
          </w:p>
        </w:tc>
        <w:tc>
          <w:tcPr>
            <w:tcW w:w="1160" w:type="dxa"/>
            <w:tcBorders>
              <w:top w:val="nil"/>
              <w:left w:val="nil"/>
              <w:bottom w:val="nil"/>
              <w:right w:val="nil"/>
            </w:tcBorders>
            <w:noWrap/>
            <w:vAlign w:val="bottom"/>
          </w:tcPr>
          <w:p w:rsidR="00366504" w:rsidRDefault="00366504">
            <w:pPr>
              <w:widowControl/>
              <w:jc w:val="left"/>
              <w:rPr>
                <w:rFonts w:ascii="Arial" w:hAnsi="Arial" w:cs="Arial"/>
                <w:color w:val="000000"/>
                <w:kern w:val="0"/>
                <w:sz w:val="20"/>
                <w:szCs w:val="20"/>
              </w:rPr>
            </w:pPr>
          </w:p>
        </w:tc>
        <w:tc>
          <w:tcPr>
            <w:tcW w:w="1960" w:type="dxa"/>
            <w:tcBorders>
              <w:top w:val="nil"/>
              <w:left w:val="nil"/>
              <w:bottom w:val="nil"/>
              <w:right w:val="nil"/>
            </w:tcBorders>
            <w:noWrap/>
            <w:vAlign w:val="bottom"/>
          </w:tcPr>
          <w:p w:rsidR="00366504" w:rsidRDefault="00366504">
            <w:pPr>
              <w:widowControl/>
              <w:jc w:val="center"/>
              <w:rPr>
                <w:rFonts w:ascii="宋体" w:cs="Arial"/>
                <w:color w:val="000000"/>
                <w:kern w:val="0"/>
                <w:sz w:val="44"/>
                <w:szCs w:val="44"/>
              </w:rPr>
            </w:pPr>
          </w:p>
        </w:tc>
        <w:tc>
          <w:tcPr>
            <w:tcW w:w="1574" w:type="dxa"/>
            <w:tcBorders>
              <w:top w:val="nil"/>
              <w:left w:val="nil"/>
              <w:bottom w:val="nil"/>
              <w:right w:val="nil"/>
            </w:tcBorders>
            <w:noWrap/>
            <w:vAlign w:val="bottom"/>
          </w:tcPr>
          <w:p w:rsidR="00366504" w:rsidRDefault="00366504">
            <w:pPr>
              <w:widowControl/>
              <w:jc w:val="left"/>
              <w:rPr>
                <w:rFonts w:ascii="Arial" w:hAnsi="Arial" w:cs="Arial"/>
                <w:color w:val="000000"/>
                <w:kern w:val="0"/>
                <w:sz w:val="20"/>
                <w:szCs w:val="20"/>
              </w:rPr>
            </w:pPr>
          </w:p>
        </w:tc>
        <w:tc>
          <w:tcPr>
            <w:tcW w:w="1080" w:type="dxa"/>
            <w:tcBorders>
              <w:top w:val="nil"/>
              <w:left w:val="nil"/>
              <w:bottom w:val="nil"/>
              <w:right w:val="nil"/>
            </w:tcBorders>
            <w:noWrap/>
            <w:vAlign w:val="bottom"/>
          </w:tcPr>
          <w:p w:rsidR="00366504" w:rsidRDefault="00366504">
            <w:pPr>
              <w:widowControl/>
              <w:jc w:val="left"/>
              <w:rPr>
                <w:rFonts w:ascii="Arial" w:hAnsi="Arial" w:cs="Arial"/>
                <w:color w:val="000000"/>
                <w:kern w:val="0"/>
                <w:sz w:val="20"/>
                <w:szCs w:val="20"/>
              </w:rPr>
            </w:pPr>
          </w:p>
        </w:tc>
        <w:tc>
          <w:tcPr>
            <w:tcW w:w="1600" w:type="dxa"/>
            <w:tcBorders>
              <w:top w:val="nil"/>
              <w:left w:val="nil"/>
              <w:bottom w:val="nil"/>
              <w:right w:val="nil"/>
            </w:tcBorders>
            <w:noWrap/>
            <w:vAlign w:val="bottom"/>
          </w:tcPr>
          <w:p w:rsidR="00366504" w:rsidRDefault="00366504">
            <w:pPr>
              <w:widowControl/>
              <w:jc w:val="left"/>
              <w:rPr>
                <w:rFonts w:ascii="Arial" w:hAnsi="Arial" w:cs="Arial"/>
                <w:color w:val="000000"/>
                <w:kern w:val="0"/>
                <w:sz w:val="20"/>
                <w:szCs w:val="20"/>
              </w:rPr>
            </w:pPr>
          </w:p>
        </w:tc>
      </w:tr>
      <w:tr w:rsidR="00366504">
        <w:trPr>
          <w:trHeight w:val="255"/>
        </w:trPr>
        <w:tc>
          <w:tcPr>
            <w:tcW w:w="1780" w:type="dxa"/>
            <w:tcBorders>
              <w:top w:val="nil"/>
              <w:left w:val="nil"/>
              <w:bottom w:val="nil"/>
              <w:right w:val="nil"/>
            </w:tcBorders>
            <w:noWrap/>
            <w:vAlign w:val="bottom"/>
          </w:tcPr>
          <w:p w:rsidR="00366504" w:rsidRDefault="00366504">
            <w:pPr>
              <w:widowControl/>
              <w:jc w:val="left"/>
              <w:rPr>
                <w:rFonts w:ascii="Arial" w:hAnsi="Arial" w:cs="Arial"/>
                <w:color w:val="000000"/>
                <w:kern w:val="0"/>
                <w:sz w:val="20"/>
                <w:szCs w:val="20"/>
              </w:rPr>
            </w:pPr>
          </w:p>
        </w:tc>
        <w:tc>
          <w:tcPr>
            <w:tcW w:w="1160" w:type="dxa"/>
            <w:tcBorders>
              <w:top w:val="nil"/>
              <w:left w:val="nil"/>
              <w:bottom w:val="nil"/>
              <w:right w:val="nil"/>
            </w:tcBorders>
            <w:noWrap/>
            <w:vAlign w:val="bottom"/>
          </w:tcPr>
          <w:p w:rsidR="00366504" w:rsidRDefault="00366504">
            <w:pPr>
              <w:widowControl/>
              <w:jc w:val="left"/>
              <w:rPr>
                <w:rFonts w:ascii="Arial" w:hAnsi="Arial" w:cs="Arial"/>
                <w:color w:val="000000"/>
                <w:kern w:val="0"/>
                <w:sz w:val="20"/>
                <w:szCs w:val="20"/>
              </w:rPr>
            </w:pPr>
          </w:p>
        </w:tc>
        <w:tc>
          <w:tcPr>
            <w:tcW w:w="1160" w:type="dxa"/>
            <w:tcBorders>
              <w:top w:val="nil"/>
              <w:left w:val="nil"/>
              <w:bottom w:val="nil"/>
              <w:right w:val="nil"/>
            </w:tcBorders>
            <w:noWrap/>
            <w:vAlign w:val="bottom"/>
          </w:tcPr>
          <w:p w:rsidR="00366504" w:rsidRDefault="00366504">
            <w:pPr>
              <w:widowControl/>
              <w:jc w:val="left"/>
              <w:rPr>
                <w:rFonts w:ascii="Arial" w:hAnsi="Arial" w:cs="Arial"/>
                <w:color w:val="000000"/>
                <w:kern w:val="0"/>
                <w:sz w:val="20"/>
                <w:szCs w:val="20"/>
              </w:rPr>
            </w:pPr>
          </w:p>
        </w:tc>
        <w:tc>
          <w:tcPr>
            <w:tcW w:w="1960" w:type="dxa"/>
            <w:tcBorders>
              <w:top w:val="nil"/>
              <w:left w:val="nil"/>
              <w:bottom w:val="nil"/>
              <w:right w:val="nil"/>
            </w:tcBorders>
            <w:noWrap/>
            <w:vAlign w:val="bottom"/>
          </w:tcPr>
          <w:p w:rsidR="00366504" w:rsidRDefault="00366504">
            <w:pPr>
              <w:widowControl/>
              <w:jc w:val="left"/>
              <w:rPr>
                <w:rFonts w:ascii="Arial" w:hAnsi="Arial" w:cs="Arial"/>
                <w:color w:val="000000"/>
                <w:kern w:val="0"/>
                <w:sz w:val="20"/>
                <w:szCs w:val="20"/>
              </w:rPr>
            </w:pPr>
          </w:p>
        </w:tc>
        <w:tc>
          <w:tcPr>
            <w:tcW w:w="1574" w:type="dxa"/>
            <w:tcBorders>
              <w:top w:val="nil"/>
              <w:left w:val="nil"/>
              <w:bottom w:val="nil"/>
              <w:right w:val="nil"/>
            </w:tcBorders>
            <w:noWrap/>
            <w:vAlign w:val="bottom"/>
          </w:tcPr>
          <w:p w:rsidR="00366504" w:rsidRDefault="00366504">
            <w:pPr>
              <w:widowControl/>
              <w:jc w:val="left"/>
              <w:rPr>
                <w:rFonts w:ascii="Arial" w:hAnsi="Arial" w:cs="Arial"/>
                <w:color w:val="000000"/>
                <w:kern w:val="0"/>
                <w:sz w:val="20"/>
                <w:szCs w:val="20"/>
              </w:rPr>
            </w:pPr>
          </w:p>
        </w:tc>
        <w:tc>
          <w:tcPr>
            <w:tcW w:w="1080" w:type="dxa"/>
            <w:tcBorders>
              <w:top w:val="nil"/>
              <w:left w:val="nil"/>
              <w:bottom w:val="nil"/>
              <w:right w:val="nil"/>
            </w:tcBorders>
            <w:noWrap/>
            <w:vAlign w:val="bottom"/>
          </w:tcPr>
          <w:p w:rsidR="00366504" w:rsidRDefault="00366504">
            <w:pPr>
              <w:widowControl/>
              <w:jc w:val="left"/>
              <w:rPr>
                <w:rFonts w:ascii="Arial" w:hAnsi="Arial" w:cs="Arial"/>
                <w:color w:val="000000"/>
                <w:kern w:val="0"/>
                <w:sz w:val="20"/>
                <w:szCs w:val="20"/>
              </w:rPr>
            </w:pPr>
          </w:p>
        </w:tc>
        <w:tc>
          <w:tcPr>
            <w:tcW w:w="1600" w:type="dxa"/>
            <w:tcBorders>
              <w:top w:val="nil"/>
              <w:left w:val="nil"/>
              <w:bottom w:val="nil"/>
              <w:right w:val="nil"/>
            </w:tcBorders>
            <w:noWrap/>
            <w:vAlign w:val="bottom"/>
          </w:tcPr>
          <w:p w:rsidR="00366504" w:rsidRDefault="00EE11D1">
            <w:pPr>
              <w:widowControl/>
              <w:jc w:val="right"/>
              <w:rPr>
                <w:rFonts w:ascii="宋体" w:cs="Arial"/>
                <w:color w:val="000000"/>
                <w:kern w:val="0"/>
                <w:sz w:val="20"/>
                <w:szCs w:val="20"/>
              </w:rPr>
            </w:pPr>
            <w:proofErr w:type="gramStart"/>
            <w:r>
              <w:rPr>
                <w:rFonts w:ascii="宋体" w:hAnsi="宋体" w:cs="Arial" w:hint="eastAsia"/>
                <w:color w:val="000000"/>
                <w:kern w:val="0"/>
                <w:sz w:val="20"/>
                <w:szCs w:val="20"/>
              </w:rPr>
              <w:t>财决公开</w:t>
            </w:r>
            <w:proofErr w:type="gramEnd"/>
            <w:r>
              <w:rPr>
                <w:rFonts w:ascii="宋体" w:hAnsi="宋体" w:cs="Arial"/>
                <w:color w:val="000000"/>
                <w:kern w:val="0"/>
                <w:sz w:val="20"/>
                <w:szCs w:val="20"/>
              </w:rPr>
              <w:t>10</w:t>
            </w:r>
            <w:r>
              <w:rPr>
                <w:rFonts w:ascii="宋体" w:hAnsi="宋体" w:cs="Arial" w:hint="eastAsia"/>
                <w:color w:val="000000"/>
                <w:kern w:val="0"/>
                <w:sz w:val="20"/>
                <w:szCs w:val="20"/>
              </w:rPr>
              <w:t>表</w:t>
            </w:r>
          </w:p>
        </w:tc>
      </w:tr>
      <w:tr w:rsidR="00366504">
        <w:trPr>
          <w:trHeight w:val="255"/>
        </w:trPr>
        <w:tc>
          <w:tcPr>
            <w:tcW w:w="2940" w:type="dxa"/>
            <w:gridSpan w:val="2"/>
            <w:tcBorders>
              <w:top w:val="nil"/>
              <w:left w:val="nil"/>
              <w:bottom w:val="nil"/>
              <w:right w:val="nil"/>
            </w:tcBorders>
            <w:noWrap/>
            <w:vAlign w:val="bottom"/>
          </w:tcPr>
          <w:p w:rsidR="00366504" w:rsidRDefault="00EE11D1">
            <w:pPr>
              <w:widowControl/>
              <w:jc w:val="left"/>
              <w:rPr>
                <w:rFonts w:ascii="宋体" w:cs="Arial"/>
                <w:color w:val="000000"/>
                <w:kern w:val="0"/>
                <w:sz w:val="20"/>
                <w:szCs w:val="20"/>
              </w:rPr>
            </w:pPr>
            <w:r>
              <w:rPr>
                <w:rFonts w:ascii="宋体" w:hAnsi="宋体" w:cs="Arial" w:hint="eastAsia"/>
                <w:color w:val="000000"/>
                <w:kern w:val="0"/>
                <w:sz w:val="20"/>
                <w:szCs w:val="20"/>
              </w:rPr>
              <w:t>编制单位：保定市公安局</w:t>
            </w:r>
          </w:p>
        </w:tc>
        <w:tc>
          <w:tcPr>
            <w:tcW w:w="1160" w:type="dxa"/>
            <w:tcBorders>
              <w:top w:val="nil"/>
              <w:left w:val="nil"/>
              <w:bottom w:val="nil"/>
              <w:right w:val="nil"/>
            </w:tcBorders>
            <w:noWrap/>
            <w:vAlign w:val="bottom"/>
          </w:tcPr>
          <w:p w:rsidR="00366504" w:rsidRDefault="00366504">
            <w:pPr>
              <w:widowControl/>
              <w:jc w:val="left"/>
              <w:rPr>
                <w:rFonts w:ascii="Arial" w:hAnsi="Arial" w:cs="Arial"/>
                <w:color w:val="000000"/>
                <w:kern w:val="0"/>
                <w:sz w:val="20"/>
                <w:szCs w:val="20"/>
              </w:rPr>
            </w:pPr>
          </w:p>
        </w:tc>
        <w:tc>
          <w:tcPr>
            <w:tcW w:w="1960" w:type="dxa"/>
            <w:tcBorders>
              <w:top w:val="nil"/>
              <w:left w:val="nil"/>
              <w:bottom w:val="nil"/>
              <w:right w:val="nil"/>
            </w:tcBorders>
            <w:noWrap/>
            <w:vAlign w:val="bottom"/>
          </w:tcPr>
          <w:p w:rsidR="00366504" w:rsidRDefault="00366504">
            <w:pPr>
              <w:widowControl/>
              <w:jc w:val="center"/>
              <w:rPr>
                <w:rFonts w:ascii="宋体" w:cs="Arial"/>
                <w:color w:val="000000"/>
                <w:kern w:val="0"/>
                <w:sz w:val="20"/>
                <w:szCs w:val="20"/>
              </w:rPr>
            </w:pPr>
          </w:p>
        </w:tc>
        <w:tc>
          <w:tcPr>
            <w:tcW w:w="1574" w:type="dxa"/>
            <w:tcBorders>
              <w:top w:val="nil"/>
              <w:left w:val="nil"/>
              <w:bottom w:val="nil"/>
              <w:right w:val="nil"/>
            </w:tcBorders>
            <w:noWrap/>
            <w:vAlign w:val="bottom"/>
          </w:tcPr>
          <w:p w:rsidR="00366504" w:rsidRDefault="00366504">
            <w:pPr>
              <w:widowControl/>
              <w:jc w:val="left"/>
              <w:rPr>
                <w:rFonts w:ascii="Arial" w:hAnsi="Arial" w:cs="Arial"/>
                <w:color w:val="000000"/>
                <w:kern w:val="0"/>
                <w:sz w:val="20"/>
                <w:szCs w:val="20"/>
              </w:rPr>
            </w:pPr>
          </w:p>
        </w:tc>
        <w:tc>
          <w:tcPr>
            <w:tcW w:w="1080" w:type="dxa"/>
            <w:tcBorders>
              <w:top w:val="nil"/>
              <w:left w:val="nil"/>
              <w:bottom w:val="nil"/>
              <w:right w:val="nil"/>
            </w:tcBorders>
            <w:noWrap/>
            <w:vAlign w:val="bottom"/>
          </w:tcPr>
          <w:p w:rsidR="00366504" w:rsidRDefault="00366504">
            <w:pPr>
              <w:widowControl/>
              <w:jc w:val="left"/>
              <w:rPr>
                <w:rFonts w:ascii="Arial" w:hAnsi="Arial" w:cs="Arial"/>
                <w:color w:val="000000"/>
                <w:kern w:val="0"/>
                <w:sz w:val="20"/>
                <w:szCs w:val="20"/>
              </w:rPr>
            </w:pPr>
          </w:p>
        </w:tc>
        <w:tc>
          <w:tcPr>
            <w:tcW w:w="1600" w:type="dxa"/>
            <w:tcBorders>
              <w:top w:val="nil"/>
              <w:left w:val="nil"/>
              <w:bottom w:val="nil"/>
              <w:right w:val="nil"/>
            </w:tcBorders>
            <w:noWrap/>
            <w:vAlign w:val="bottom"/>
          </w:tcPr>
          <w:p w:rsidR="00366504" w:rsidRDefault="00EE11D1">
            <w:pPr>
              <w:widowControl/>
              <w:jc w:val="right"/>
              <w:rPr>
                <w:rFonts w:ascii="宋体" w:cs="Arial"/>
                <w:color w:val="000000"/>
                <w:kern w:val="0"/>
                <w:sz w:val="20"/>
                <w:szCs w:val="20"/>
              </w:rPr>
            </w:pPr>
            <w:r>
              <w:rPr>
                <w:rFonts w:ascii="宋体" w:hAnsi="宋体" w:cs="Arial" w:hint="eastAsia"/>
                <w:color w:val="000000"/>
                <w:kern w:val="0"/>
                <w:sz w:val="20"/>
                <w:szCs w:val="20"/>
              </w:rPr>
              <w:t>金额单位：万元</w:t>
            </w:r>
          </w:p>
        </w:tc>
      </w:tr>
      <w:tr w:rsidR="00366504">
        <w:trPr>
          <w:trHeight w:val="308"/>
        </w:trPr>
        <w:tc>
          <w:tcPr>
            <w:tcW w:w="1780" w:type="dxa"/>
            <w:vMerge w:val="restart"/>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项目</w:t>
            </w:r>
          </w:p>
        </w:tc>
        <w:tc>
          <w:tcPr>
            <w:tcW w:w="8534" w:type="dxa"/>
            <w:gridSpan w:val="6"/>
            <w:tcBorders>
              <w:top w:val="single" w:sz="4" w:space="0" w:color="000000"/>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采购计划金额</w:t>
            </w:r>
          </w:p>
        </w:tc>
      </w:tr>
      <w:tr w:rsidR="00366504">
        <w:trPr>
          <w:trHeight w:val="308"/>
        </w:trPr>
        <w:tc>
          <w:tcPr>
            <w:tcW w:w="1780" w:type="dxa"/>
            <w:vMerge/>
            <w:tcBorders>
              <w:top w:val="single" w:sz="4" w:space="0" w:color="000000"/>
              <w:left w:val="single" w:sz="4" w:space="0" w:color="000000"/>
              <w:bottom w:val="single" w:sz="4" w:space="0" w:color="000000"/>
              <w:right w:val="single" w:sz="4" w:space="0" w:color="000000"/>
            </w:tcBorders>
            <w:vAlign w:val="center"/>
          </w:tcPr>
          <w:p w:rsidR="00366504" w:rsidRDefault="00366504">
            <w:pPr>
              <w:widowControl/>
              <w:jc w:val="left"/>
              <w:rPr>
                <w:rFonts w:ascii="宋体" w:cs="Arial"/>
                <w:color w:val="000000"/>
                <w:kern w:val="0"/>
                <w:sz w:val="22"/>
              </w:rPr>
            </w:pPr>
          </w:p>
        </w:tc>
        <w:tc>
          <w:tcPr>
            <w:tcW w:w="1160" w:type="dxa"/>
            <w:vMerge w:val="restart"/>
            <w:tcBorders>
              <w:top w:val="nil"/>
              <w:left w:val="nil"/>
              <w:bottom w:val="single" w:sz="4" w:space="0" w:color="000000"/>
              <w:right w:val="single" w:sz="4" w:space="0" w:color="000000"/>
            </w:tcBorders>
            <w:shd w:val="clear" w:color="FFFFFF" w:fill="C0C0C0"/>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总计</w:t>
            </w:r>
          </w:p>
        </w:tc>
        <w:tc>
          <w:tcPr>
            <w:tcW w:w="5774" w:type="dxa"/>
            <w:gridSpan w:val="4"/>
            <w:tcBorders>
              <w:top w:val="nil"/>
              <w:left w:val="nil"/>
              <w:bottom w:val="single" w:sz="4" w:space="0" w:color="000000"/>
              <w:right w:val="single" w:sz="4" w:space="0" w:color="000000"/>
            </w:tcBorders>
            <w:shd w:val="clear" w:color="FFFFFF" w:fill="C0C0C0"/>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采购预算</w:t>
            </w:r>
            <w:r>
              <w:rPr>
                <w:rFonts w:ascii="宋体" w:hAnsi="宋体" w:cs="Arial"/>
                <w:color w:val="000000"/>
                <w:kern w:val="0"/>
                <w:sz w:val="22"/>
              </w:rPr>
              <w:t>(</w:t>
            </w:r>
            <w:r>
              <w:rPr>
                <w:rFonts w:ascii="宋体" w:hAnsi="宋体" w:cs="Arial" w:hint="eastAsia"/>
                <w:color w:val="000000"/>
                <w:kern w:val="0"/>
                <w:sz w:val="22"/>
              </w:rPr>
              <w:t>财政性资金</w:t>
            </w:r>
            <w:r>
              <w:rPr>
                <w:rFonts w:ascii="宋体" w:hAnsi="宋体" w:cs="Arial"/>
                <w:color w:val="000000"/>
                <w:kern w:val="0"/>
                <w:sz w:val="22"/>
              </w:rPr>
              <w:t>)</w:t>
            </w:r>
          </w:p>
        </w:tc>
        <w:tc>
          <w:tcPr>
            <w:tcW w:w="1600" w:type="dxa"/>
            <w:vMerge w:val="restart"/>
            <w:tcBorders>
              <w:top w:val="nil"/>
              <w:left w:val="nil"/>
              <w:bottom w:val="single" w:sz="4" w:space="0" w:color="000000"/>
              <w:right w:val="single" w:sz="4" w:space="0" w:color="000000"/>
            </w:tcBorders>
            <w:shd w:val="clear" w:color="FFFFFF" w:fill="C0C0C0"/>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非财政性资金</w:t>
            </w:r>
          </w:p>
        </w:tc>
      </w:tr>
      <w:tr w:rsidR="00366504">
        <w:trPr>
          <w:trHeight w:val="308"/>
        </w:trPr>
        <w:tc>
          <w:tcPr>
            <w:tcW w:w="1780" w:type="dxa"/>
            <w:vMerge/>
            <w:tcBorders>
              <w:top w:val="single" w:sz="4" w:space="0" w:color="000000"/>
              <w:left w:val="single" w:sz="4" w:space="0" w:color="000000"/>
              <w:bottom w:val="single" w:sz="4" w:space="0" w:color="000000"/>
              <w:right w:val="single" w:sz="4" w:space="0" w:color="000000"/>
            </w:tcBorders>
            <w:vAlign w:val="center"/>
          </w:tcPr>
          <w:p w:rsidR="00366504" w:rsidRDefault="00366504">
            <w:pPr>
              <w:widowControl/>
              <w:jc w:val="left"/>
              <w:rPr>
                <w:rFonts w:ascii="宋体" w:cs="Arial"/>
                <w:color w:val="000000"/>
                <w:kern w:val="0"/>
                <w:sz w:val="22"/>
              </w:rPr>
            </w:pPr>
          </w:p>
        </w:tc>
        <w:tc>
          <w:tcPr>
            <w:tcW w:w="1160" w:type="dxa"/>
            <w:vMerge/>
            <w:tcBorders>
              <w:top w:val="nil"/>
              <w:left w:val="nil"/>
              <w:bottom w:val="single" w:sz="4" w:space="0" w:color="000000"/>
              <w:right w:val="single" w:sz="4" w:space="0" w:color="000000"/>
            </w:tcBorders>
            <w:vAlign w:val="center"/>
          </w:tcPr>
          <w:p w:rsidR="00366504" w:rsidRDefault="00366504">
            <w:pPr>
              <w:widowControl/>
              <w:jc w:val="left"/>
              <w:rPr>
                <w:rFonts w:ascii="宋体" w:cs="Arial"/>
                <w:color w:val="000000"/>
                <w:kern w:val="0"/>
                <w:sz w:val="22"/>
              </w:rPr>
            </w:pPr>
          </w:p>
        </w:tc>
        <w:tc>
          <w:tcPr>
            <w:tcW w:w="1160" w:type="dxa"/>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合计</w:t>
            </w:r>
          </w:p>
        </w:tc>
        <w:tc>
          <w:tcPr>
            <w:tcW w:w="1960" w:type="dxa"/>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一般公共预算</w:t>
            </w:r>
          </w:p>
        </w:tc>
        <w:tc>
          <w:tcPr>
            <w:tcW w:w="1574" w:type="dxa"/>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政府性基金预算</w:t>
            </w:r>
          </w:p>
        </w:tc>
        <w:tc>
          <w:tcPr>
            <w:tcW w:w="1080" w:type="dxa"/>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其他资金</w:t>
            </w:r>
          </w:p>
        </w:tc>
        <w:tc>
          <w:tcPr>
            <w:tcW w:w="1600" w:type="dxa"/>
            <w:vMerge/>
            <w:tcBorders>
              <w:top w:val="nil"/>
              <w:left w:val="nil"/>
              <w:bottom w:val="single" w:sz="4" w:space="0" w:color="000000"/>
              <w:right w:val="single" w:sz="4" w:space="0" w:color="000000"/>
            </w:tcBorders>
            <w:vAlign w:val="center"/>
          </w:tcPr>
          <w:p w:rsidR="00366504" w:rsidRDefault="00366504">
            <w:pPr>
              <w:widowControl/>
              <w:jc w:val="left"/>
              <w:rPr>
                <w:rFonts w:ascii="宋体" w:cs="Arial"/>
                <w:color w:val="000000"/>
                <w:kern w:val="0"/>
                <w:sz w:val="22"/>
              </w:rPr>
            </w:pPr>
          </w:p>
        </w:tc>
      </w:tr>
      <w:tr w:rsidR="00366504">
        <w:trPr>
          <w:trHeight w:val="308"/>
        </w:trPr>
        <w:tc>
          <w:tcPr>
            <w:tcW w:w="1780" w:type="dxa"/>
            <w:tcBorders>
              <w:top w:val="nil"/>
              <w:left w:val="single" w:sz="4" w:space="0" w:color="000000"/>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栏次</w:t>
            </w:r>
          </w:p>
        </w:tc>
        <w:tc>
          <w:tcPr>
            <w:tcW w:w="1160" w:type="dxa"/>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color w:val="000000"/>
                <w:kern w:val="0"/>
                <w:sz w:val="22"/>
              </w:rPr>
              <w:t>1</w:t>
            </w:r>
          </w:p>
        </w:tc>
        <w:tc>
          <w:tcPr>
            <w:tcW w:w="1160" w:type="dxa"/>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color w:val="000000"/>
                <w:kern w:val="0"/>
                <w:sz w:val="22"/>
              </w:rPr>
              <w:t>2</w:t>
            </w:r>
          </w:p>
        </w:tc>
        <w:tc>
          <w:tcPr>
            <w:tcW w:w="1960" w:type="dxa"/>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color w:val="000000"/>
                <w:kern w:val="0"/>
                <w:sz w:val="22"/>
              </w:rPr>
              <w:t>3</w:t>
            </w:r>
          </w:p>
        </w:tc>
        <w:tc>
          <w:tcPr>
            <w:tcW w:w="1574" w:type="dxa"/>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color w:val="000000"/>
                <w:kern w:val="0"/>
                <w:sz w:val="22"/>
              </w:rPr>
              <w:t>4</w:t>
            </w:r>
          </w:p>
        </w:tc>
        <w:tc>
          <w:tcPr>
            <w:tcW w:w="1080" w:type="dxa"/>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color w:val="000000"/>
                <w:kern w:val="0"/>
                <w:sz w:val="22"/>
              </w:rPr>
              <w:t>5</w:t>
            </w:r>
          </w:p>
        </w:tc>
        <w:tc>
          <w:tcPr>
            <w:tcW w:w="1600" w:type="dxa"/>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color w:val="000000"/>
                <w:kern w:val="0"/>
                <w:sz w:val="22"/>
              </w:rPr>
              <w:t>6</w:t>
            </w:r>
          </w:p>
        </w:tc>
      </w:tr>
      <w:tr w:rsidR="00366504">
        <w:trPr>
          <w:trHeight w:val="308"/>
        </w:trPr>
        <w:tc>
          <w:tcPr>
            <w:tcW w:w="1780" w:type="dxa"/>
            <w:tcBorders>
              <w:top w:val="nil"/>
              <w:left w:val="single" w:sz="4" w:space="0" w:color="000000"/>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合</w:t>
            </w:r>
            <w:r>
              <w:rPr>
                <w:rFonts w:ascii="宋体" w:hAnsi="宋体" w:cs="Arial"/>
                <w:color w:val="000000"/>
                <w:kern w:val="0"/>
                <w:sz w:val="22"/>
              </w:rPr>
              <w:t xml:space="preserve">      </w:t>
            </w:r>
            <w:r>
              <w:rPr>
                <w:rFonts w:ascii="宋体" w:hAnsi="宋体" w:cs="Arial" w:hint="eastAsia"/>
                <w:color w:val="000000"/>
                <w:kern w:val="0"/>
                <w:sz w:val="22"/>
              </w:rPr>
              <w:t>计</w:t>
            </w:r>
          </w:p>
        </w:tc>
        <w:tc>
          <w:tcPr>
            <w:tcW w:w="11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9,299.57</w:t>
            </w:r>
          </w:p>
        </w:tc>
        <w:tc>
          <w:tcPr>
            <w:tcW w:w="11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9,299.57</w:t>
            </w:r>
          </w:p>
        </w:tc>
        <w:tc>
          <w:tcPr>
            <w:tcW w:w="19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9,299.57</w:t>
            </w:r>
          </w:p>
        </w:tc>
        <w:tc>
          <w:tcPr>
            <w:tcW w:w="1574"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c>
          <w:tcPr>
            <w:tcW w:w="108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c>
          <w:tcPr>
            <w:tcW w:w="160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r>
      <w:tr w:rsidR="00366504">
        <w:trPr>
          <w:trHeight w:val="308"/>
        </w:trPr>
        <w:tc>
          <w:tcPr>
            <w:tcW w:w="1780" w:type="dxa"/>
            <w:tcBorders>
              <w:top w:val="nil"/>
              <w:left w:val="single" w:sz="4" w:space="0" w:color="000000"/>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货物</w:t>
            </w:r>
          </w:p>
        </w:tc>
        <w:tc>
          <w:tcPr>
            <w:tcW w:w="11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3,590.52</w:t>
            </w:r>
          </w:p>
        </w:tc>
        <w:tc>
          <w:tcPr>
            <w:tcW w:w="11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3,590.52</w:t>
            </w:r>
          </w:p>
        </w:tc>
        <w:tc>
          <w:tcPr>
            <w:tcW w:w="19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3,590.52</w:t>
            </w:r>
          </w:p>
        </w:tc>
        <w:tc>
          <w:tcPr>
            <w:tcW w:w="1574"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c>
          <w:tcPr>
            <w:tcW w:w="108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c>
          <w:tcPr>
            <w:tcW w:w="160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r>
      <w:tr w:rsidR="00366504">
        <w:trPr>
          <w:trHeight w:val="308"/>
        </w:trPr>
        <w:tc>
          <w:tcPr>
            <w:tcW w:w="1780" w:type="dxa"/>
            <w:tcBorders>
              <w:top w:val="nil"/>
              <w:left w:val="single" w:sz="4" w:space="0" w:color="000000"/>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工程</w:t>
            </w:r>
          </w:p>
        </w:tc>
        <w:tc>
          <w:tcPr>
            <w:tcW w:w="11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4,924.53</w:t>
            </w:r>
          </w:p>
        </w:tc>
        <w:tc>
          <w:tcPr>
            <w:tcW w:w="11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4,924.53</w:t>
            </w:r>
          </w:p>
        </w:tc>
        <w:tc>
          <w:tcPr>
            <w:tcW w:w="19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4,924.53</w:t>
            </w:r>
          </w:p>
        </w:tc>
        <w:tc>
          <w:tcPr>
            <w:tcW w:w="1574"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c>
          <w:tcPr>
            <w:tcW w:w="108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c>
          <w:tcPr>
            <w:tcW w:w="160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r>
      <w:tr w:rsidR="00366504">
        <w:trPr>
          <w:trHeight w:val="308"/>
        </w:trPr>
        <w:tc>
          <w:tcPr>
            <w:tcW w:w="1780" w:type="dxa"/>
            <w:tcBorders>
              <w:top w:val="nil"/>
              <w:left w:val="single" w:sz="4" w:space="0" w:color="000000"/>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服务</w:t>
            </w:r>
          </w:p>
        </w:tc>
        <w:tc>
          <w:tcPr>
            <w:tcW w:w="11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784.52</w:t>
            </w:r>
          </w:p>
        </w:tc>
        <w:tc>
          <w:tcPr>
            <w:tcW w:w="11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784.52</w:t>
            </w:r>
          </w:p>
        </w:tc>
        <w:tc>
          <w:tcPr>
            <w:tcW w:w="19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784.52</w:t>
            </w:r>
          </w:p>
        </w:tc>
        <w:tc>
          <w:tcPr>
            <w:tcW w:w="1574"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c>
          <w:tcPr>
            <w:tcW w:w="108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c>
          <w:tcPr>
            <w:tcW w:w="160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r>
      <w:tr w:rsidR="00366504">
        <w:trPr>
          <w:trHeight w:val="308"/>
        </w:trPr>
        <w:tc>
          <w:tcPr>
            <w:tcW w:w="1780" w:type="dxa"/>
            <w:vMerge w:val="restart"/>
            <w:tcBorders>
              <w:top w:val="nil"/>
              <w:left w:val="single" w:sz="4" w:space="0" w:color="000000"/>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项目</w:t>
            </w:r>
          </w:p>
        </w:tc>
        <w:tc>
          <w:tcPr>
            <w:tcW w:w="8534" w:type="dxa"/>
            <w:gridSpan w:val="6"/>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实际采购金额</w:t>
            </w:r>
          </w:p>
        </w:tc>
      </w:tr>
      <w:tr w:rsidR="00366504">
        <w:trPr>
          <w:trHeight w:val="308"/>
        </w:trPr>
        <w:tc>
          <w:tcPr>
            <w:tcW w:w="1780" w:type="dxa"/>
            <w:vMerge/>
            <w:tcBorders>
              <w:top w:val="nil"/>
              <w:left w:val="single" w:sz="4" w:space="0" w:color="000000"/>
              <w:bottom w:val="single" w:sz="4" w:space="0" w:color="000000"/>
              <w:right w:val="single" w:sz="4" w:space="0" w:color="000000"/>
            </w:tcBorders>
            <w:vAlign w:val="center"/>
          </w:tcPr>
          <w:p w:rsidR="00366504" w:rsidRDefault="00366504">
            <w:pPr>
              <w:widowControl/>
              <w:jc w:val="left"/>
              <w:rPr>
                <w:rFonts w:ascii="宋体" w:cs="Arial"/>
                <w:color w:val="000000"/>
                <w:kern w:val="0"/>
                <w:sz w:val="22"/>
              </w:rPr>
            </w:pPr>
          </w:p>
        </w:tc>
        <w:tc>
          <w:tcPr>
            <w:tcW w:w="1160" w:type="dxa"/>
            <w:vMerge w:val="restart"/>
            <w:tcBorders>
              <w:top w:val="nil"/>
              <w:left w:val="nil"/>
              <w:bottom w:val="single" w:sz="4" w:space="0" w:color="000000"/>
              <w:right w:val="single" w:sz="4" w:space="0" w:color="000000"/>
            </w:tcBorders>
            <w:shd w:val="clear" w:color="FFFFFF" w:fill="C0C0C0"/>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总计</w:t>
            </w:r>
          </w:p>
        </w:tc>
        <w:tc>
          <w:tcPr>
            <w:tcW w:w="5774" w:type="dxa"/>
            <w:gridSpan w:val="4"/>
            <w:tcBorders>
              <w:top w:val="nil"/>
              <w:left w:val="nil"/>
              <w:bottom w:val="single" w:sz="4" w:space="0" w:color="000000"/>
              <w:right w:val="single" w:sz="4" w:space="0" w:color="000000"/>
            </w:tcBorders>
            <w:shd w:val="clear" w:color="FFFFFF" w:fill="C0C0C0"/>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采购预算</w:t>
            </w:r>
            <w:r>
              <w:rPr>
                <w:rFonts w:ascii="宋体" w:hAnsi="宋体" w:cs="Arial"/>
                <w:color w:val="000000"/>
                <w:kern w:val="0"/>
                <w:sz w:val="22"/>
              </w:rPr>
              <w:t>(</w:t>
            </w:r>
            <w:r>
              <w:rPr>
                <w:rFonts w:ascii="宋体" w:hAnsi="宋体" w:cs="Arial" w:hint="eastAsia"/>
                <w:color w:val="000000"/>
                <w:kern w:val="0"/>
                <w:sz w:val="22"/>
              </w:rPr>
              <w:t>财政性资金</w:t>
            </w:r>
            <w:r>
              <w:rPr>
                <w:rFonts w:ascii="宋体" w:hAnsi="宋体" w:cs="Arial"/>
                <w:color w:val="000000"/>
                <w:kern w:val="0"/>
                <w:sz w:val="22"/>
              </w:rPr>
              <w:t>)</w:t>
            </w:r>
          </w:p>
        </w:tc>
        <w:tc>
          <w:tcPr>
            <w:tcW w:w="1600" w:type="dxa"/>
            <w:vMerge w:val="restart"/>
            <w:tcBorders>
              <w:top w:val="nil"/>
              <w:left w:val="nil"/>
              <w:bottom w:val="single" w:sz="4" w:space="0" w:color="000000"/>
              <w:right w:val="single" w:sz="4" w:space="0" w:color="000000"/>
            </w:tcBorders>
            <w:shd w:val="clear" w:color="FFFFFF" w:fill="C0C0C0"/>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非财政性资金</w:t>
            </w:r>
          </w:p>
        </w:tc>
      </w:tr>
      <w:tr w:rsidR="00366504">
        <w:trPr>
          <w:trHeight w:val="308"/>
        </w:trPr>
        <w:tc>
          <w:tcPr>
            <w:tcW w:w="1780" w:type="dxa"/>
            <w:vMerge/>
            <w:tcBorders>
              <w:top w:val="nil"/>
              <w:left w:val="single" w:sz="4" w:space="0" w:color="000000"/>
              <w:bottom w:val="single" w:sz="4" w:space="0" w:color="000000"/>
              <w:right w:val="single" w:sz="4" w:space="0" w:color="000000"/>
            </w:tcBorders>
            <w:vAlign w:val="center"/>
          </w:tcPr>
          <w:p w:rsidR="00366504" w:rsidRDefault="00366504">
            <w:pPr>
              <w:widowControl/>
              <w:jc w:val="left"/>
              <w:rPr>
                <w:rFonts w:ascii="宋体" w:cs="Arial"/>
                <w:color w:val="000000"/>
                <w:kern w:val="0"/>
                <w:sz w:val="22"/>
              </w:rPr>
            </w:pPr>
          </w:p>
        </w:tc>
        <w:tc>
          <w:tcPr>
            <w:tcW w:w="1160" w:type="dxa"/>
            <w:vMerge/>
            <w:tcBorders>
              <w:top w:val="nil"/>
              <w:left w:val="nil"/>
              <w:bottom w:val="single" w:sz="4" w:space="0" w:color="000000"/>
              <w:right w:val="single" w:sz="4" w:space="0" w:color="000000"/>
            </w:tcBorders>
            <w:vAlign w:val="center"/>
          </w:tcPr>
          <w:p w:rsidR="00366504" w:rsidRDefault="00366504">
            <w:pPr>
              <w:widowControl/>
              <w:jc w:val="left"/>
              <w:rPr>
                <w:rFonts w:ascii="宋体" w:cs="Arial"/>
                <w:color w:val="000000"/>
                <w:kern w:val="0"/>
                <w:sz w:val="22"/>
              </w:rPr>
            </w:pPr>
          </w:p>
        </w:tc>
        <w:tc>
          <w:tcPr>
            <w:tcW w:w="1160" w:type="dxa"/>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合计</w:t>
            </w:r>
          </w:p>
        </w:tc>
        <w:tc>
          <w:tcPr>
            <w:tcW w:w="1960" w:type="dxa"/>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一般公共预算</w:t>
            </w:r>
          </w:p>
        </w:tc>
        <w:tc>
          <w:tcPr>
            <w:tcW w:w="1574" w:type="dxa"/>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政府性基金预算</w:t>
            </w:r>
          </w:p>
        </w:tc>
        <w:tc>
          <w:tcPr>
            <w:tcW w:w="1080" w:type="dxa"/>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其他资金</w:t>
            </w:r>
          </w:p>
        </w:tc>
        <w:tc>
          <w:tcPr>
            <w:tcW w:w="1600" w:type="dxa"/>
            <w:vMerge/>
            <w:tcBorders>
              <w:top w:val="nil"/>
              <w:left w:val="nil"/>
              <w:bottom w:val="single" w:sz="4" w:space="0" w:color="000000"/>
              <w:right w:val="single" w:sz="4" w:space="0" w:color="000000"/>
            </w:tcBorders>
            <w:vAlign w:val="center"/>
          </w:tcPr>
          <w:p w:rsidR="00366504" w:rsidRDefault="00366504">
            <w:pPr>
              <w:widowControl/>
              <w:jc w:val="left"/>
              <w:rPr>
                <w:rFonts w:ascii="宋体" w:cs="Arial"/>
                <w:color w:val="000000"/>
                <w:kern w:val="0"/>
                <w:sz w:val="22"/>
              </w:rPr>
            </w:pPr>
          </w:p>
        </w:tc>
      </w:tr>
      <w:tr w:rsidR="00366504">
        <w:trPr>
          <w:trHeight w:val="308"/>
        </w:trPr>
        <w:tc>
          <w:tcPr>
            <w:tcW w:w="1780" w:type="dxa"/>
            <w:tcBorders>
              <w:top w:val="nil"/>
              <w:left w:val="single" w:sz="4" w:space="0" w:color="000000"/>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栏次</w:t>
            </w:r>
          </w:p>
        </w:tc>
        <w:tc>
          <w:tcPr>
            <w:tcW w:w="1160" w:type="dxa"/>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color w:val="000000"/>
                <w:kern w:val="0"/>
                <w:sz w:val="22"/>
              </w:rPr>
              <w:t>7</w:t>
            </w:r>
          </w:p>
        </w:tc>
        <w:tc>
          <w:tcPr>
            <w:tcW w:w="1160" w:type="dxa"/>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color w:val="000000"/>
                <w:kern w:val="0"/>
                <w:sz w:val="22"/>
              </w:rPr>
              <w:t>8</w:t>
            </w:r>
          </w:p>
        </w:tc>
        <w:tc>
          <w:tcPr>
            <w:tcW w:w="1960" w:type="dxa"/>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color w:val="000000"/>
                <w:kern w:val="0"/>
                <w:sz w:val="22"/>
              </w:rPr>
              <w:t>9</w:t>
            </w:r>
          </w:p>
        </w:tc>
        <w:tc>
          <w:tcPr>
            <w:tcW w:w="1574" w:type="dxa"/>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color w:val="000000"/>
                <w:kern w:val="0"/>
                <w:sz w:val="22"/>
              </w:rPr>
              <w:t>10</w:t>
            </w:r>
          </w:p>
        </w:tc>
        <w:tc>
          <w:tcPr>
            <w:tcW w:w="1080" w:type="dxa"/>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color w:val="000000"/>
                <w:kern w:val="0"/>
                <w:sz w:val="22"/>
              </w:rPr>
              <w:t>11</w:t>
            </w:r>
          </w:p>
        </w:tc>
        <w:tc>
          <w:tcPr>
            <w:tcW w:w="1600" w:type="dxa"/>
            <w:tcBorders>
              <w:top w:val="nil"/>
              <w:left w:val="nil"/>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color w:val="000000"/>
                <w:kern w:val="0"/>
                <w:sz w:val="22"/>
              </w:rPr>
              <w:t>12</w:t>
            </w:r>
          </w:p>
        </w:tc>
      </w:tr>
      <w:tr w:rsidR="00366504">
        <w:trPr>
          <w:trHeight w:val="308"/>
        </w:trPr>
        <w:tc>
          <w:tcPr>
            <w:tcW w:w="1780" w:type="dxa"/>
            <w:tcBorders>
              <w:top w:val="nil"/>
              <w:left w:val="single" w:sz="4" w:space="0" w:color="000000"/>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合</w:t>
            </w:r>
            <w:r>
              <w:rPr>
                <w:rFonts w:ascii="宋体" w:hAnsi="宋体" w:cs="Arial"/>
                <w:color w:val="000000"/>
                <w:kern w:val="0"/>
                <w:sz w:val="22"/>
              </w:rPr>
              <w:t xml:space="preserve">      </w:t>
            </w:r>
            <w:r>
              <w:rPr>
                <w:rFonts w:ascii="宋体" w:hAnsi="宋体" w:cs="Arial" w:hint="eastAsia"/>
                <w:color w:val="000000"/>
                <w:kern w:val="0"/>
                <w:sz w:val="22"/>
              </w:rPr>
              <w:t>计</w:t>
            </w:r>
          </w:p>
        </w:tc>
        <w:tc>
          <w:tcPr>
            <w:tcW w:w="11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8,606.33</w:t>
            </w:r>
          </w:p>
        </w:tc>
        <w:tc>
          <w:tcPr>
            <w:tcW w:w="11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8,606.33</w:t>
            </w:r>
          </w:p>
        </w:tc>
        <w:tc>
          <w:tcPr>
            <w:tcW w:w="19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8,606.33</w:t>
            </w:r>
          </w:p>
        </w:tc>
        <w:tc>
          <w:tcPr>
            <w:tcW w:w="1574"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c>
          <w:tcPr>
            <w:tcW w:w="108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c>
          <w:tcPr>
            <w:tcW w:w="160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r>
      <w:tr w:rsidR="00366504">
        <w:trPr>
          <w:trHeight w:val="308"/>
        </w:trPr>
        <w:tc>
          <w:tcPr>
            <w:tcW w:w="1780" w:type="dxa"/>
            <w:tcBorders>
              <w:top w:val="nil"/>
              <w:left w:val="single" w:sz="4" w:space="0" w:color="000000"/>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货物</w:t>
            </w:r>
          </w:p>
        </w:tc>
        <w:tc>
          <w:tcPr>
            <w:tcW w:w="11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3,395.89</w:t>
            </w:r>
          </w:p>
        </w:tc>
        <w:tc>
          <w:tcPr>
            <w:tcW w:w="11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3,395.89</w:t>
            </w:r>
          </w:p>
        </w:tc>
        <w:tc>
          <w:tcPr>
            <w:tcW w:w="19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3,395.89</w:t>
            </w:r>
          </w:p>
        </w:tc>
        <w:tc>
          <w:tcPr>
            <w:tcW w:w="1574"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c>
          <w:tcPr>
            <w:tcW w:w="108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c>
          <w:tcPr>
            <w:tcW w:w="160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r>
      <w:tr w:rsidR="00366504">
        <w:trPr>
          <w:trHeight w:val="308"/>
        </w:trPr>
        <w:tc>
          <w:tcPr>
            <w:tcW w:w="1780" w:type="dxa"/>
            <w:tcBorders>
              <w:top w:val="nil"/>
              <w:left w:val="single" w:sz="4" w:space="0" w:color="000000"/>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工程</w:t>
            </w:r>
          </w:p>
        </w:tc>
        <w:tc>
          <w:tcPr>
            <w:tcW w:w="11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4,426.34</w:t>
            </w:r>
          </w:p>
        </w:tc>
        <w:tc>
          <w:tcPr>
            <w:tcW w:w="11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4,426.34</w:t>
            </w:r>
          </w:p>
        </w:tc>
        <w:tc>
          <w:tcPr>
            <w:tcW w:w="19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4,426.34</w:t>
            </w:r>
          </w:p>
        </w:tc>
        <w:tc>
          <w:tcPr>
            <w:tcW w:w="1574"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c>
          <w:tcPr>
            <w:tcW w:w="108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c>
          <w:tcPr>
            <w:tcW w:w="160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r>
      <w:tr w:rsidR="00366504">
        <w:trPr>
          <w:trHeight w:val="308"/>
        </w:trPr>
        <w:tc>
          <w:tcPr>
            <w:tcW w:w="1780" w:type="dxa"/>
            <w:tcBorders>
              <w:top w:val="nil"/>
              <w:left w:val="single" w:sz="4" w:space="0" w:color="000000"/>
              <w:bottom w:val="single" w:sz="4" w:space="0" w:color="000000"/>
              <w:right w:val="single" w:sz="4" w:space="0" w:color="000000"/>
            </w:tcBorders>
            <w:shd w:val="clear" w:color="FFFFFF" w:fill="C0C0C0"/>
            <w:noWrap/>
            <w:vAlign w:val="center"/>
          </w:tcPr>
          <w:p w:rsidR="00366504" w:rsidRDefault="00EE11D1">
            <w:pPr>
              <w:widowControl/>
              <w:jc w:val="center"/>
              <w:rPr>
                <w:rFonts w:ascii="宋体" w:cs="Arial"/>
                <w:color w:val="000000"/>
                <w:kern w:val="0"/>
                <w:sz w:val="22"/>
              </w:rPr>
            </w:pPr>
            <w:r>
              <w:rPr>
                <w:rFonts w:ascii="宋体" w:hAnsi="宋体" w:cs="Arial" w:hint="eastAsia"/>
                <w:color w:val="000000"/>
                <w:kern w:val="0"/>
                <w:sz w:val="22"/>
              </w:rPr>
              <w:t>服务</w:t>
            </w:r>
          </w:p>
        </w:tc>
        <w:tc>
          <w:tcPr>
            <w:tcW w:w="11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784.10</w:t>
            </w:r>
          </w:p>
        </w:tc>
        <w:tc>
          <w:tcPr>
            <w:tcW w:w="11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784.10</w:t>
            </w:r>
          </w:p>
        </w:tc>
        <w:tc>
          <w:tcPr>
            <w:tcW w:w="196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hAnsi="宋体" w:cs="Arial"/>
                <w:color w:val="000000"/>
                <w:kern w:val="0"/>
                <w:sz w:val="22"/>
              </w:rPr>
              <w:t>784.10</w:t>
            </w:r>
          </w:p>
        </w:tc>
        <w:tc>
          <w:tcPr>
            <w:tcW w:w="1574"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c>
          <w:tcPr>
            <w:tcW w:w="108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c>
          <w:tcPr>
            <w:tcW w:w="1600" w:type="dxa"/>
            <w:tcBorders>
              <w:top w:val="nil"/>
              <w:left w:val="nil"/>
              <w:bottom w:val="single" w:sz="4" w:space="0" w:color="000000"/>
              <w:right w:val="single" w:sz="4" w:space="0" w:color="000000"/>
            </w:tcBorders>
            <w:noWrap/>
            <w:vAlign w:val="center"/>
          </w:tcPr>
          <w:p w:rsidR="00366504" w:rsidRDefault="00EE11D1">
            <w:pPr>
              <w:widowControl/>
              <w:jc w:val="right"/>
              <w:rPr>
                <w:rFonts w:ascii="宋体" w:cs="Arial"/>
                <w:color w:val="000000"/>
                <w:kern w:val="0"/>
                <w:sz w:val="22"/>
              </w:rPr>
            </w:pPr>
            <w:r>
              <w:rPr>
                <w:rFonts w:ascii="宋体" w:cs="Arial"/>
                <w:color w:val="000000"/>
                <w:kern w:val="0"/>
                <w:sz w:val="22"/>
              </w:rPr>
              <w:t>0.00</w:t>
            </w:r>
          </w:p>
        </w:tc>
      </w:tr>
      <w:tr w:rsidR="00366504">
        <w:trPr>
          <w:trHeight w:val="308"/>
        </w:trPr>
        <w:tc>
          <w:tcPr>
            <w:tcW w:w="10314" w:type="dxa"/>
            <w:gridSpan w:val="7"/>
            <w:tcBorders>
              <w:top w:val="nil"/>
              <w:left w:val="nil"/>
              <w:bottom w:val="nil"/>
              <w:right w:val="nil"/>
            </w:tcBorders>
            <w:noWrap/>
            <w:vAlign w:val="center"/>
          </w:tcPr>
          <w:p w:rsidR="00366504" w:rsidRDefault="00EE11D1">
            <w:pPr>
              <w:widowControl/>
              <w:jc w:val="left"/>
              <w:rPr>
                <w:rFonts w:ascii="宋体" w:cs="Arial"/>
                <w:color w:val="000000"/>
                <w:kern w:val="0"/>
                <w:sz w:val="20"/>
                <w:szCs w:val="20"/>
              </w:rPr>
            </w:pPr>
            <w:r>
              <w:rPr>
                <w:rFonts w:ascii="宋体" w:hAnsi="宋体" w:cs="Arial" w:hint="eastAsia"/>
                <w:color w:val="000000"/>
                <w:kern w:val="0"/>
                <w:sz w:val="20"/>
                <w:szCs w:val="20"/>
              </w:rPr>
              <w:t>注：本表反映部门本年度纳入部门预算范围的政府采购预算及支出情况。</w:t>
            </w:r>
          </w:p>
        </w:tc>
      </w:tr>
    </w:tbl>
    <w:p w:rsidR="00366504" w:rsidRDefault="00366504">
      <w:pPr>
        <w:jc w:val="center"/>
        <w:outlineLvl w:val="0"/>
        <w:rPr>
          <w:rFonts w:ascii="黑体" w:eastAsia="黑体" w:hAnsi="黑体"/>
          <w:sz w:val="32"/>
          <w:szCs w:val="32"/>
        </w:rPr>
      </w:pPr>
    </w:p>
    <w:p w:rsidR="00366504" w:rsidRDefault="00EE11D1">
      <w:pPr>
        <w:ind w:firstLineChars="200" w:firstLine="640"/>
        <w:jc w:val="left"/>
        <w:outlineLvl w:val="0"/>
        <w:rPr>
          <w:rFonts w:ascii="仿宋_GB2312" w:eastAsia="仿宋_GB2312" w:hAnsi="仿宋"/>
          <w:sz w:val="32"/>
          <w:szCs w:val="32"/>
        </w:rPr>
      </w:pPr>
      <w:r>
        <w:rPr>
          <w:rFonts w:ascii="仿宋_GB2312" w:eastAsia="仿宋_GB2312" w:hAnsi="仿宋" w:hint="eastAsia"/>
          <w:sz w:val="32"/>
          <w:szCs w:val="32"/>
        </w:rPr>
        <w:t>说明：保定市公安局</w:t>
      </w:r>
      <w:r>
        <w:rPr>
          <w:rFonts w:ascii="仿宋_GB2312" w:eastAsia="仿宋_GB2312" w:hAnsi="仿宋"/>
          <w:sz w:val="32"/>
          <w:szCs w:val="32"/>
        </w:rPr>
        <w:t>2017</w:t>
      </w:r>
      <w:r>
        <w:rPr>
          <w:rFonts w:ascii="仿宋_GB2312" w:eastAsia="仿宋_GB2312" w:hAnsi="仿宋" w:hint="eastAsia"/>
          <w:sz w:val="32"/>
          <w:szCs w:val="32"/>
        </w:rPr>
        <w:t>年的政府采购项目全部贯彻落实国家规定的支持中小企业、购置节能、环保绿色产品等政府采购政策。</w:t>
      </w:r>
    </w:p>
    <w:p w:rsidR="00366504" w:rsidRDefault="00366504">
      <w:pPr>
        <w:ind w:firstLineChars="200" w:firstLine="640"/>
        <w:jc w:val="left"/>
        <w:outlineLvl w:val="0"/>
        <w:rPr>
          <w:rFonts w:ascii="仿宋_GB2312" w:eastAsia="仿宋_GB2312" w:hAnsi="仿宋"/>
          <w:sz w:val="32"/>
          <w:szCs w:val="32"/>
        </w:rPr>
      </w:pPr>
    </w:p>
    <w:p w:rsidR="00366504" w:rsidRDefault="00EE11D1">
      <w:pPr>
        <w:jc w:val="center"/>
        <w:rPr>
          <w:rFonts w:ascii="黑体" w:eastAsia="黑体" w:hAnsi="黑体"/>
          <w:sz w:val="32"/>
          <w:szCs w:val="32"/>
        </w:rPr>
      </w:pPr>
      <w:r>
        <w:rPr>
          <w:rFonts w:ascii="黑体" w:eastAsia="黑体" w:hAnsi="黑体" w:hint="eastAsia"/>
          <w:sz w:val="32"/>
          <w:szCs w:val="32"/>
        </w:rPr>
        <w:t>第七部分：国有资产信息</w:t>
      </w:r>
    </w:p>
    <w:tbl>
      <w:tblPr>
        <w:tblW w:w="9498" w:type="dxa"/>
        <w:tblLook w:val="04A0" w:firstRow="1" w:lastRow="0" w:firstColumn="1" w:lastColumn="0" w:noHBand="0" w:noVBand="1"/>
      </w:tblPr>
      <w:tblGrid>
        <w:gridCol w:w="3928"/>
        <w:gridCol w:w="1591"/>
        <w:gridCol w:w="3979"/>
      </w:tblGrid>
      <w:tr w:rsidR="00366504">
        <w:trPr>
          <w:trHeight w:val="675"/>
        </w:trPr>
        <w:tc>
          <w:tcPr>
            <w:tcW w:w="9498" w:type="dxa"/>
            <w:gridSpan w:val="3"/>
            <w:tcBorders>
              <w:top w:val="nil"/>
              <w:left w:val="nil"/>
              <w:bottom w:val="nil"/>
              <w:right w:val="nil"/>
            </w:tcBorders>
            <w:noWrap/>
            <w:vAlign w:val="center"/>
          </w:tcPr>
          <w:p w:rsidR="00366504" w:rsidRDefault="00EE11D1">
            <w:pPr>
              <w:widowControl/>
              <w:jc w:val="center"/>
              <w:rPr>
                <w:rFonts w:ascii="仿宋" w:eastAsia="仿宋" w:hAnsi="仿宋"/>
                <w:b/>
                <w:sz w:val="32"/>
                <w:szCs w:val="32"/>
              </w:rPr>
            </w:pPr>
            <w:r>
              <w:rPr>
                <w:rFonts w:ascii="仿宋" w:eastAsia="仿宋" w:hAnsi="仿宋"/>
                <w:b/>
                <w:sz w:val="32"/>
                <w:szCs w:val="32"/>
              </w:rPr>
              <w:t xml:space="preserve">  </w:t>
            </w:r>
            <w:r>
              <w:rPr>
                <w:rFonts w:ascii="仿宋" w:eastAsia="仿宋" w:hAnsi="仿宋" w:hint="eastAsia"/>
                <w:b/>
                <w:sz w:val="32"/>
                <w:szCs w:val="32"/>
              </w:rPr>
              <w:t>保定市公安局固定资产占用情况表</w:t>
            </w:r>
          </w:p>
        </w:tc>
      </w:tr>
      <w:tr w:rsidR="00366504">
        <w:trPr>
          <w:trHeight w:val="465"/>
        </w:trPr>
        <w:tc>
          <w:tcPr>
            <w:tcW w:w="9498" w:type="dxa"/>
            <w:gridSpan w:val="3"/>
            <w:tcBorders>
              <w:top w:val="nil"/>
              <w:left w:val="nil"/>
              <w:bottom w:val="single" w:sz="4" w:space="0" w:color="auto"/>
              <w:right w:val="nil"/>
            </w:tcBorders>
            <w:noWrap/>
            <w:vAlign w:val="center"/>
          </w:tcPr>
          <w:p w:rsidR="00366504" w:rsidRDefault="00EE11D1">
            <w:pPr>
              <w:widowControl/>
              <w:jc w:val="center"/>
              <w:rPr>
                <w:rFonts w:ascii="仿宋_GB2312" w:eastAsia="仿宋_GB2312" w:hAnsi="宋体" w:cs="宋体"/>
                <w:color w:val="000000"/>
                <w:kern w:val="0"/>
                <w:sz w:val="32"/>
                <w:szCs w:val="32"/>
              </w:rPr>
            </w:pPr>
            <w:r>
              <w:rPr>
                <w:rFonts w:ascii="仿宋_GB2312" w:eastAsia="仿宋_GB2312" w:hAnsi="宋体" w:cs="宋体"/>
                <w:bCs/>
                <w:color w:val="000000"/>
                <w:kern w:val="0"/>
                <w:sz w:val="32"/>
                <w:szCs w:val="32"/>
              </w:rPr>
              <w:t xml:space="preserve">                           </w:t>
            </w:r>
            <w:r>
              <w:rPr>
                <w:rFonts w:ascii="仿宋_GB2312" w:eastAsia="仿宋_GB2312" w:hAnsi="宋体" w:cs="宋体" w:hint="eastAsia"/>
                <w:bCs/>
                <w:color w:val="000000"/>
                <w:kern w:val="0"/>
                <w:sz w:val="32"/>
                <w:szCs w:val="32"/>
              </w:rPr>
              <w:t>截止时间：</w:t>
            </w:r>
            <w:r>
              <w:rPr>
                <w:rFonts w:ascii="仿宋_GB2312" w:eastAsia="仿宋_GB2312" w:hAnsi="宋体" w:cs="宋体"/>
                <w:bCs/>
                <w:color w:val="000000"/>
                <w:kern w:val="0"/>
                <w:sz w:val="32"/>
                <w:szCs w:val="32"/>
              </w:rPr>
              <w:t>2017</w:t>
            </w:r>
            <w:r>
              <w:rPr>
                <w:rFonts w:ascii="仿宋_GB2312" w:eastAsia="仿宋_GB2312" w:hAnsi="宋体" w:cs="宋体" w:hint="eastAsia"/>
                <w:bCs/>
                <w:color w:val="000000"/>
                <w:kern w:val="0"/>
                <w:sz w:val="32"/>
                <w:szCs w:val="32"/>
              </w:rPr>
              <w:t>年</w:t>
            </w:r>
            <w:r>
              <w:rPr>
                <w:rFonts w:ascii="仿宋_GB2312" w:eastAsia="仿宋_GB2312" w:hAnsi="宋体" w:cs="宋体"/>
                <w:bCs/>
                <w:color w:val="000000"/>
                <w:kern w:val="0"/>
                <w:sz w:val="32"/>
                <w:szCs w:val="32"/>
              </w:rPr>
              <w:t>12</w:t>
            </w:r>
            <w:r>
              <w:rPr>
                <w:rFonts w:ascii="仿宋_GB2312" w:eastAsia="仿宋_GB2312" w:hAnsi="宋体" w:cs="宋体" w:hint="eastAsia"/>
                <w:bCs/>
                <w:color w:val="000000"/>
                <w:kern w:val="0"/>
                <w:sz w:val="32"/>
                <w:szCs w:val="32"/>
              </w:rPr>
              <w:t>月</w:t>
            </w:r>
            <w:r>
              <w:rPr>
                <w:rFonts w:ascii="仿宋_GB2312" w:eastAsia="仿宋_GB2312" w:hAnsi="宋体" w:cs="宋体"/>
                <w:bCs/>
                <w:color w:val="000000"/>
                <w:kern w:val="0"/>
                <w:sz w:val="32"/>
                <w:szCs w:val="32"/>
              </w:rPr>
              <w:t>31</w:t>
            </w:r>
            <w:r>
              <w:rPr>
                <w:rFonts w:ascii="仿宋_GB2312" w:eastAsia="仿宋_GB2312" w:hAnsi="宋体" w:cs="宋体" w:hint="eastAsia"/>
                <w:bCs/>
                <w:color w:val="000000"/>
                <w:kern w:val="0"/>
                <w:sz w:val="32"/>
                <w:szCs w:val="32"/>
              </w:rPr>
              <w:t>日</w:t>
            </w:r>
          </w:p>
        </w:tc>
      </w:tr>
      <w:tr w:rsidR="00366504">
        <w:trPr>
          <w:trHeight w:val="750"/>
        </w:trPr>
        <w:tc>
          <w:tcPr>
            <w:tcW w:w="3928" w:type="dxa"/>
            <w:tcBorders>
              <w:top w:val="nil"/>
              <w:left w:val="single" w:sz="4" w:space="0" w:color="auto"/>
              <w:bottom w:val="single" w:sz="4" w:space="0" w:color="auto"/>
              <w:right w:val="single" w:sz="4" w:space="0" w:color="auto"/>
            </w:tcBorders>
            <w:noWrap/>
            <w:vAlign w:val="center"/>
          </w:tcPr>
          <w:p w:rsidR="00366504" w:rsidRDefault="00EE11D1">
            <w:pPr>
              <w:widowControl/>
              <w:jc w:val="center"/>
              <w:rPr>
                <w:rFonts w:ascii="宋体" w:cs="宋体"/>
                <w:b/>
                <w:bCs/>
                <w:color w:val="000000"/>
                <w:kern w:val="0"/>
                <w:sz w:val="24"/>
                <w:szCs w:val="24"/>
              </w:rPr>
            </w:pPr>
            <w:proofErr w:type="gramStart"/>
            <w:r>
              <w:rPr>
                <w:rFonts w:ascii="宋体" w:hAnsi="宋体" w:cs="宋体" w:hint="eastAsia"/>
                <w:b/>
                <w:bCs/>
                <w:color w:val="000000"/>
                <w:kern w:val="0"/>
                <w:sz w:val="24"/>
                <w:szCs w:val="24"/>
              </w:rPr>
              <w:t xml:space="preserve">项　　</w:t>
            </w:r>
            <w:proofErr w:type="gramEnd"/>
            <w:r>
              <w:rPr>
                <w:rFonts w:ascii="宋体" w:hAnsi="宋体" w:cs="宋体" w:hint="eastAsia"/>
                <w:b/>
                <w:bCs/>
                <w:color w:val="000000"/>
                <w:kern w:val="0"/>
                <w:sz w:val="24"/>
                <w:szCs w:val="24"/>
              </w:rPr>
              <w:t>目</w:t>
            </w:r>
          </w:p>
        </w:tc>
        <w:tc>
          <w:tcPr>
            <w:tcW w:w="1591" w:type="dxa"/>
            <w:tcBorders>
              <w:top w:val="nil"/>
              <w:left w:val="nil"/>
              <w:bottom w:val="single" w:sz="4" w:space="0" w:color="auto"/>
              <w:right w:val="single" w:sz="4" w:space="0" w:color="auto"/>
            </w:tcBorders>
            <w:noWrap/>
            <w:vAlign w:val="center"/>
          </w:tcPr>
          <w:p w:rsidR="00366504" w:rsidRDefault="00EE11D1">
            <w:pPr>
              <w:widowControl/>
              <w:jc w:val="center"/>
              <w:rPr>
                <w:rFonts w:ascii="宋体" w:cs="宋体"/>
                <w:b/>
                <w:bCs/>
                <w:color w:val="000000"/>
                <w:kern w:val="0"/>
                <w:sz w:val="24"/>
                <w:szCs w:val="24"/>
              </w:rPr>
            </w:pPr>
            <w:r>
              <w:rPr>
                <w:rFonts w:ascii="宋体" w:hAnsi="宋体" w:cs="宋体" w:hint="eastAsia"/>
                <w:b/>
                <w:bCs/>
                <w:color w:val="000000"/>
                <w:kern w:val="0"/>
                <w:sz w:val="24"/>
                <w:szCs w:val="24"/>
              </w:rPr>
              <w:t>数量</w:t>
            </w:r>
          </w:p>
        </w:tc>
        <w:tc>
          <w:tcPr>
            <w:tcW w:w="3979" w:type="dxa"/>
            <w:tcBorders>
              <w:top w:val="nil"/>
              <w:left w:val="nil"/>
              <w:bottom w:val="single" w:sz="4" w:space="0" w:color="auto"/>
              <w:right w:val="single" w:sz="4" w:space="0" w:color="auto"/>
            </w:tcBorders>
            <w:noWrap/>
            <w:vAlign w:val="center"/>
          </w:tcPr>
          <w:p w:rsidR="00366504" w:rsidRDefault="00EE11D1">
            <w:pPr>
              <w:widowControl/>
              <w:jc w:val="center"/>
              <w:rPr>
                <w:rFonts w:ascii="宋体" w:cs="宋体"/>
                <w:b/>
                <w:bCs/>
                <w:color w:val="000000"/>
                <w:kern w:val="0"/>
                <w:sz w:val="24"/>
                <w:szCs w:val="24"/>
              </w:rPr>
            </w:pPr>
            <w:r>
              <w:rPr>
                <w:rFonts w:ascii="宋体" w:hAnsi="宋体" w:cs="宋体" w:hint="eastAsia"/>
                <w:b/>
                <w:bCs/>
                <w:color w:val="000000"/>
                <w:kern w:val="0"/>
                <w:sz w:val="24"/>
                <w:szCs w:val="24"/>
              </w:rPr>
              <w:t>价值（单位：万元）</w:t>
            </w:r>
          </w:p>
        </w:tc>
      </w:tr>
      <w:tr w:rsidR="00366504">
        <w:trPr>
          <w:trHeight w:val="495"/>
        </w:trPr>
        <w:tc>
          <w:tcPr>
            <w:tcW w:w="3928" w:type="dxa"/>
            <w:tcBorders>
              <w:top w:val="nil"/>
              <w:left w:val="single" w:sz="4" w:space="0" w:color="auto"/>
              <w:bottom w:val="single" w:sz="4" w:space="0" w:color="auto"/>
              <w:right w:val="single" w:sz="4" w:space="0" w:color="auto"/>
            </w:tcBorders>
            <w:noWrap/>
            <w:vAlign w:val="center"/>
          </w:tcPr>
          <w:p w:rsidR="00366504" w:rsidRDefault="00EE11D1">
            <w:pPr>
              <w:widowControl/>
              <w:jc w:val="center"/>
              <w:rPr>
                <w:rFonts w:ascii="宋体" w:cs="宋体"/>
                <w:b/>
                <w:bCs/>
                <w:color w:val="000000"/>
                <w:kern w:val="0"/>
                <w:sz w:val="24"/>
                <w:szCs w:val="24"/>
              </w:rPr>
            </w:pPr>
            <w:r>
              <w:rPr>
                <w:rFonts w:ascii="宋体" w:hAnsi="宋体" w:cs="宋体" w:hint="eastAsia"/>
                <w:b/>
                <w:bCs/>
                <w:color w:val="000000"/>
                <w:kern w:val="0"/>
                <w:sz w:val="24"/>
                <w:szCs w:val="24"/>
              </w:rPr>
              <w:t>固定资产总额</w:t>
            </w:r>
          </w:p>
        </w:tc>
        <w:tc>
          <w:tcPr>
            <w:tcW w:w="1591" w:type="dxa"/>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4"/>
                <w:szCs w:val="24"/>
              </w:rPr>
            </w:pPr>
            <w:r>
              <w:rPr>
                <w:rFonts w:ascii="宋体" w:hAnsi="宋体" w:cs="宋体"/>
                <w:color w:val="000000"/>
                <w:kern w:val="0"/>
                <w:sz w:val="24"/>
                <w:szCs w:val="24"/>
              </w:rPr>
              <w:t>—</w:t>
            </w:r>
          </w:p>
        </w:tc>
        <w:tc>
          <w:tcPr>
            <w:tcW w:w="3979" w:type="dxa"/>
            <w:tcBorders>
              <w:top w:val="nil"/>
              <w:left w:val="nil"/>
              <w:bottom w:val="single" w:sz="4" w:space="0" w:color="auto"/>
              <w:right w:val="single" w:sz="4" w:space="0" w:color="auto"/>
            </w:tcBorders>
            <w:noWrap/>
            <w:vAlign w:val="center"/>
          </w:tcPr>
          <w:p w:rsidR="00366504" w:rsidRDefault="00EE11D1">
            <w:pPr>
              <w:widowControl/>
              <w:jc w:val="center"/>
              <w:rPr>
                <w:rFonts w:ascii="宋体" w:cs="宋体"/>
                <w:b/>
                <w:color w:val="000000"/>
                <w:kern w:val="0"/>
                <w:sz w:val="24"/>
                <w:szCs w:val="24"/>
              </w:rPr>
            </w:pPr>
            <w:r>
              <w:rPr>
                <w:rFonts w:ascii="宋体" w:hAnsi="宋体" w:cs="宋体"/>
                <w:b/>
                <w:color w:val="000000"/>
                <w:kern w:val="0"/>
                <w:sz w:val="24"/>
                <w:szCs w:val="24"/>
              </w:rPr>
              <w:t>33,102.18</w:t>
            </w:r>
          </w:p>
        </w:tc>
      </w:tr>
      <w:tr w:rsidR="00366504">
        <w:trPr>
          <w:trHeight w:val="483"/>
        </w:trPr>
        <w:tc>
          <w:tcPr>
            <w:tcW w:w="3928" w:type="dxa"/>
            <w:tcBorders>
              <w:top w:val="nil"/>
              <w:left w:val="single" w:sz="4" w:space="0" w:color="auto"/>
              <w:bottom w:val="single" w:sz="4" w:space="0" w:color="auto"/>
              <w:right w:val="single" w:sz="4" w:space="0" w:color="auto"/>
            </w:tcBorders>
            <w:noWrap/>
            <w:vAlign w:val="center"/>
          </w:tcPr>
          <w:p w:rsidR="00366504" w:rsidRDefault="00EE11D1">
            <w:pPr>
              <w:widowControl/>
              <w:jc w:val="left"/>
              <w:rPr>
                <w:rFonts w:ascii="宋体" w:cs="宋体"/>
                <w:color w:val="000000"/>
                <w:kern w:val="0"/>
                <w:sz w:val="24"/>
                <w:szCs w:val="24"/>
              </w:rPr>
            </w:pPr>
            <w:r>
              <w:rPr>
                <w:rFonts w:ascii="宋体" w:hAnsi="宋体" w:cs="宋体"/>
                <w:color w:val="000000"/>
                <w:kern w:val="0"/>
                <w:sz w:val="24"/>
                <w:szCs w:val="24"/>
              </w:rPr>
              <w:t xml:space="preserve">  1</w:t>
            </w:r>
            <w:r>
              <w:rPr>
                <w:rFonts w:ascii="宋体" w:hAnsi="宋体" w:cs="宋体" w:hint="eastAsia"/>
                <w:color w:val="000000"/>
                <w:kern w:val="0"/>
                <w:sz w:val="24"/>
                <w:szCs w:val="24"/>
              </w:rPr>
              <w:t>、房屋（平方米）</w:t>
            </w:r>
          </w:p>
        </w:tc>
        <w:tc>
          <w:tcPr>
            <w:tcW w:w="1591" w:type="dxa"/>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4"/>
                <w:szCs w:val="24"/>
              </w:rPr>
            </w:pPr>
            <w:r>
              <w:rPr>
                <w:rFonts w:ascii="宋体" w:hAnsi="宋体" w:cs="宋体"/>
                <w:color w:val="000000"/>
                <w:kern w:val="0"/>
                <w:sz w:val="24"/>
                <w:szCs w:val="24"/>
              </w:rPr>
              <w:t>77306</w:t>
            </w:r>
          </w:p>
        </w:tc>
        <w:tc>
          <w:tcPr>
            <w:tcW w:w="3979" w:type="dxa"/>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4"/>
                <w:szCs w:val="24"/>
              </w:rPr>
            </w:pPr>
            <w:r>
              <w:rPr>
                <w:rFonts w:ascii="宋体" w:hAnsi="宋体" w:cs="宋体"/>
                <w:color w:val="000000"/>
                <w:kern w:val="0"/>
                <w:sz w:val="24"/>
                <w:szCs w:val="24"/>
              </w:rPr>
              <w:t>5008.1</w:t>
            </w:r>
          </w:p>
        </w:tc>
      </w:tr>
      <w:tr w:rsidR="00366504">
        <w:trPr>
          <w:trHeight w:val="419"/>
        </w:trPr>
        <w:tc>
          <w:tcPr>
            <w:tcW w:w="3928" w:type="dxa"/>
            <w:tcBorders>
              <w:top w:val="single" w:sz="4" w:space="0" w:color="auto"/>
              <w:left w:val="single" w:sz="4" w:space="0" w:color="auto"/>
              <w:bottom w:val="single" w:sz="4" w:space="0" w:color="auto"/>
              <w:right w:val="single" w:sz="4" w:space="0" w:color="auto"/>
            </w:tcBorders>
            <w:noWrap/>
            <w:vAlign w:val="center"/>
          </w:tcPr>
          <w:p w:rsidR="00366504" w:rsidRDefault="00EE11D1">
            <w:pPr>
              <w:jc w:val="left"/>
              <w:rPr>
                <w:rFonts w:ascii="宋体" w:cs="宋体"/>
                <w:color w:val="000000"/>
                <w:kern w:val="0"/>
                <w:sz w:val="24"/>
                <w:szCs w:val="24"/>
              </w:rPr>
            </w:pPr>
            <w:r>
              <w:rPr>
                <w:rFonts w:ascii="宋体" w:hAnsi="宋体" w:cs="宋体"/>
                <w:color w:val="000000"/>
                <w:kern w:val="0"/>
                <w:sz w:val="24"/>
                <w:szCs w:val="24"/>
              </w:rPr>
              <w:t xml:space="preserve">   </w:t>
            </w:r>
            <w:r>
              <w:rPr>
                <w:rFonts w:ascii="宋体" w:hAnsi="宋体" w:cs="宋体" w:hint="eastAsia"/>
                <w:color w:val="000000"/>
                <w:kern w:val="0"/>
                <w:sz w:val="24"/>
                <w:szCs w:val="24"/>
              </w:rPr>
              <w:t>其中：办公用房（平方米）</w:t>
            </w:r>
          </w:p>
        </w:tc>
        <w:tc>
          <w:tcPr>
            <w:tcW w:w="1591" w:type="dxa"/>
            <w:tcBorders>
              <w:top w:val="single" w:sz="4" w:space="0" w:color="auto"/>
              <w:left w:val="nil"/>
              <w:bottom w:val="single" w:sz="4" w:space="0" w:color="auto"/>
              <w:right w:val="single" w:sz="4" w:space="0" w:color="auto"/>
            </w:tcBorders>
            <w:noWrap/>
            <w:vAlign w:val="center"/>
          </w:tcPr>
          <w:p w:rsidR="00366504" w:rsidRDefault="00EE11D1">
            <w:pPr>
              <w:jc w:val="center"/>
              <w:rPr>
                <w:rFonts w:ascii="宋体" w:cs="宋体"/>
                <w:color w:val="000000"/>
                <w:kern w:val="0"/>
                <w:sz w:val="24"/>
                <w:szCs w:val="24"/>
              </w:rPr>
            </w:pPr>
            <w:r>
              <w:rPr>
                <w:rFonts w:ascii="宋体" w:hAnsi="宋体" w:cs="宋体"/>
                <w:color w:val="000000"/>
                <w:kern w:val="0"/>
                <w:sz w:val="24"/>
                <w:szCs w:val="24"/>
              </w:rPr>
              <w:t>74678</w:t>
            </w:r>
          </w:p>
        </w:tc>
        <w:tc>
          <w:tcPr>
            <w:tcW w:w="3979" w:type="dxa"/>
            <w:tcBorders>
              <w:top w:val="single" w:sz="4" w:space="0" w:color="auto"/>
              <w:left w:val="nil"/>
              <w:bottom w:val="single" w:sz="4" w:space="0" w:color="auto"/>
              <w:right w:val="single" w:sz="4" w:space="0" w:color="auto"/>
            </w:tcBorders>
            <w:noWrap/>
            <w:vAlign w:val="center"/>
          </w:tcPr>
          <w:p w:rsidR="00366504" w:rsidRDefault="00EE11D1">
            <w:pPr>
              <w:jc w:val="center"/>
              <w:rPr>
                <w:rFonts w:ascii="宋体" w:cs="宋体"/>
                <w:color w:val="000000"/>
                <w:kern w:val="0"/>
                <w:sz w:val="24"/>
                <w:szCs w:val="24"/>
              </w:rPr>
            </w:pPr>
            <w:r>
              <w:rPr>
                <w:rFonts w:ascii="宋体" w:hAnsi="宋体" w:cs="宋体"/>
                <w:color w:val="000000"/>
                <w:kern w:val="0"/>
                <w:sz w:val="24"/>
                <w:szCs w:val="24"/>
              </w:rPr>
              <w:t>4945.1</w:t>
            </w:r>
          </w:p>
        </w:tc>
      </w:tr>
      <w:tr w:rsidR="00366504">
        <w:trPr>
          <w:trHeight w:val="495"/>
        </w:trPr>
        <w:tc>
          <w:tcPr>
            <w:tcW w:w="3928" w:type="dxa"/>
            <w:tcBorders>
              <w:top w:val="nil"/>
              <w:left w:val="single" w:sz="4" w:space="0" w:color="auto"/>
              <w:bottom w:val="single" w:sz="4" w:space="0" w:color="auto"/>
              <w:right w:val="single" w:sz="4" w:space="0" w:color="auto"/>
            </w:tcBorders>
            <w:noWrap/>
            <w:vAlign w:val="center"/>
          </w:tcPr>
          <w:p w:rsidR="00366504" w:rsidRDefault="00EE11D1">
            <w:pPr>
              <w:widowControl/>
              <w:jc w:val="left"/>
              <w:rPr>
                <w:rFonts w:ascii="宋体" w:cs="宋体"/>
                <w:color w:val="000000"/>
                <w:kern w:val="0"/>
                <w:sz w:val="24"/>
                <w:szCs w:val="24"/>
              </w:rPr>
            </w:pPr>
            <w:r>
              <w:rPr>
                <w:rFonts w:ascii="宋体" w:hAnsi="宋体" w:cs="宋体"/>
                <w:color w:val="000000"/>
                <w:kern w:val="0"/>
                <w:sz w:val="24"/>
                <w:szCs w:val="24"/>
              </w:rPr>
              <w:t xml:space="preserve">  2</w:t>
            </w:r>
            <w:r>
              <w:rPr>
                <w:rFonts w:ascii="宋体" w:hAnsi="宋体" w:cs="宋体" w:hint="eastAsia"/>
                <w:color w:val="000000"/>
                <w:kern w:val="0"/>
                <w:sz w:val="24"/>
                <w:szCs w:val="24"/>
              </w:rPr>
              <w:t>、车辆（台、辆）</w:t>
            </w:r>
          </w:p>
        </w:tc>
        <w:tc>
          <w:tcPr>
            <w:tcW w:w="1591" w:type="dxa"/>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4"/>
                <w:szCs w:val="24"/>
              </w:rPr>
            </w:pPr>
            <w:r>
              <w:rPr>
                <w:rFonts w:ascii="宋体" w:hAnsi="宋体" w:cs="宋体"/>
                <w:color w:val="000000"/>
                <w:kern w:val="0"/>
                <w:sz w:val="24"/>
                <w:szCs w:val="24"/>
              </w:rPr>
              <w:t>912</w:t>
            </w:r>
          </w:p>
        </w:tc>
        <w:tc>
          <w:tcPr>
            <w:tcW w:w="3979" w:type="dxa"/>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4"/>
                <w:szCs w:val="24"/>
              </w:rPr>
            </w:pPr>
            <w:r>
              <w:rPr>
                <w:rFonts w:ascii="宋体" w:hAnsi="宋体" w:cs="宋体"/>
                <w:color w:val="000000"/>
                <w:kern w:val="0"/>
                <w:sz w:val="24"/>
                <w:szCs w:val="24"/>
              </w:rPr>
              <w:t>7,068.00</w:t>
            </w:r>
          </w:p>
        </w:tc>
      </w:tr>
      <w:tr w:rsidR="00366504">
        <w:trPr>
          <w:trHeight w:val="611"/>
        </w:trPr>
        <w:tc>
          <w:tcPr>
            <w:tcW w:w="3928" w:type="dxa"/>
            <w:tcBorders>
              <w:top w:val="nil"/>
              <w:left w:val="single" w:sz="4" w:space="0" w:color="auto"/>
              <w:bottom w:val="single" w:sz="4" w:space="0" w:color="auto"/>
              <w:right w:val="single" w:sz="4" w:space="0" w:color="auto"/>
            </w:tcBorders>
            <w:noWrap/>
            <w:vAlign w:val="center"/>
          </w:tcPr>
          <w:p w:rsidR="00366504" w:rsidRDefault="00EE11D1">
            <w:pPr>
              <w:widowControl/>
              <w:jc w:val="left"/>
              <w:rPr>
                <w:rFonts w:ascii="宋体" w:cs="宋体"/>
                <w:color w:val="000000"/>
                <w:kern w:val="0"/>
                <w:sz w:val="24"/>
                <w:szCs w:val="24"/>
              </w:rPr>
            </w:pPr>
            <w:r>
              <w:rPr>
                <w:rFonts w:ascii="宋体" w:hAnsi="宋体" w:cs="宋体"/>
                <w:color w:val="000000"/>
                <w:kern w:val="0"/>
                <w:sz w:val="24"/>
                <w:szCs w:val="24"/>
              </w:rPr>
              <w:t xml:space="preserve">  3</w:t>
            </w:r>
            <w:r>
              <w:rPr>
                <w:rFonts w:ascii="宋体" w:hAnsi="宋体" w:cs="宋体" w:hint="eastAsia"/>
                <w:color w:val="000000"/>
                <w:kern w:val="0"/>
                <w:sz w:val="24"/>
                <w:szCs w:val="24"/>
              </w:rPr>
              <w:t>、单价在</w:t>
            </w:r>
            <w:r>
              <w:rPr>
                <w:rFonts w:ascii="宋体" w:hAnsi="宋体" w:cs="宋体"/>
                <w:color w:val="000000"/>
                <w:kern w:val="0"/>
                <w:sz w:val="24"/>
                <w:szCs w:val="24"/>
              </w:rPr>
              <w:t>50</w:t>
            </w:r>
            <w:r>
              <w:rPr>
                <w:rFonts w:ascii="宋体" w:hAnsi="宋体" w:cs="宋体" w:hint="eastAsia"/>
                <w:color w:val="000000"/>
                <w:kern w:val="0"/>
                <w:sz w:val="24"/>
                <w:szCs w:val="24"/>
              </w:rPr>
              <w:t>万元以上的设备</w:t>
            </w:r>
          </w:p>
        </w:tc>
        <w:tc>
          <w:tcPr>
            <w:tcW w:w="1591" w:type="dxa"/>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4"/>
                <w:szCs w:val="24"/>
              </w:rPr>
            </w:pPr>
            <w:r>
              <w:rPr>
                <w:rFonts w:ascii="宋体" w:hAnsi="宋体" w:cs="宋体"/>
                <w:color w:val="000000"/>
                <w:kern w:val="0"/>
                <w:sz w:val="24"/>
                <w:szCs w:val="24"/>
              </w:rPr>
              <w:t>60</w:t>
            </w:r>
          </w:p>
        </w:tc>
        <w:tc>
          <w:tcPr>
            <w:tcW w:w="3979" w:type="dxa"/>
            <w:tcBorders>
              <w:top w:val="nil"/>
              <w:left w:val="nil"/>
              <w:bottom w:val="single" w:sz="4" w:space="0" w:color="auto"/>
              <w:right w:val="single" w:sz="4" w:space="0" w:color="auto"/>
            </w:tcBorders>
            <w:noWrap/>
            <w:vAlign w:val="center"/>
          </w:tcPr>
          <w:p w:rsidR="00366504" w:rsidRDefault="00EE11D1">
            <w:pPr>
              <w:widowControl/>
              <w:jc w:val="center"/>
              <w:rPr>
                <w:rFonts w:ascii="宋体" w:cs="宋体"/>
                <w:color w:val="000000"/>
                <w:kern w:val="0"/>
                <w:sz w:val="24"/>
                <w:szCs w:val="24"/>
              </w:rPr>
            </w:pPr>
            <w:r>
              <w:rPr>
                <w:rFonts w:ascii="宋体" w:hAnsi="宋体" w:cs="宋体"/>
                <w:color w:val="000000"/>
                <w:kern w:val="0"/>
                <w:sz w:val="24"/>
                <w:szCs w:val="24"/>
              </w:rPr>
              <w:t>4142.5</w:t>
            </w:r>
          </w:p>
        </w:tc>
      </w:tr>
      <w:tr w:rsidR="00366504">
        <w:trPr>
          <w:trHeight w:val="432"/>
        </w:trPr>
        <w:tc>
          <w:tcPr>
            <w:tcW w:w="3928" w:type="dxa"/>
            <w:tcBorders>
              <w:top w:val="single" w:sz="4" w:space="0" w:color="auto"/>
              <w:left w:val="single" w:sz="4" w:space="0" w:color="auto"/>
              <w:bottom w:val="single" w:sz="4" w:space="0" w:color="auto"/>
              <w:right w:val="single" w:sz="4" w:space="0" w:color="auto"/>
            </w:tcBorders>
            <w:noWrap/>
            <w:vAlign w:val="center"/>
          </w:tcPr>
          <w:p w:rsidR="00366504" w:rsidRDefault="00EE11D1">
            <w:pPr>
              <w:jc w:val="left"/>
              <w:rPr>
                <w:rFonts w:ascii="宋体" w:cs="宋体"/>
                <w:color w:val="000000"/>
                <w:kern w:val="0"/>
                <w:sz w:val="24"/>
                <w:szCs w:val="24"/>
              </w:rPr>
            </w:pPr>
            <w:r>
              <w:rPr>
                <w:rFonts w:ascii="宋体" w:hAnsi="宋体" w:cs="宋体"/>
                <w:color w:val="000000"/>
                <w:kern w:val="0"/>
                <w:sz w:val="24"/>
                <w:szCs w:val="24"/>
              </w:rPr>
              <w:t xml:space="preserve">  4</w:t>
            </w:r>
            <w:r>
              <w:rPr>
                <w:rFonts w:ascii="宋体" w:hAnsi="宋体" w:cs="宋体" w:hint="eastAsia"/>
                <w:color w:val="000000"/>
                <w:kern w:val="0"/>
                <w:sz w:val="24"/>
                <w:szCs w:val="24"/>
              </w:rPr>
              <w:t>、其他固定资产</w:t>
            </w:r>
          </w:p>
        </w:tc>
        <w:tc>
          <w:tcPr>
            <w:tcW w:w="1591" w:type="dxa"/>
            <w:tcBorders>
              <w:top w:val="single" w:sz="4" w:space="0" w:color="auto"/>
              <w:left w:val="nil"/>
              <w:bottom w:val="single" w:sz="4" w:space="0" w:color="auto"/>
              <w:right w:val="single" w:sz="4" w:space="0" w:color="auto"/>
            </w:tcBorders>
            <w:noWrap/>
            <w:vAlign w:val="center"/>
          </w:tcPr>
          <w:p w:rsidR="00366504" w:rsidRDefault="00EE11D1">
            <w:pPr>
              <w:jc w:val="center"/>
              <w:rPr>
                <w:rFonts w:ascii="宋体" w:cs="宋体"/>
                <w:color w:val="000000"/>
                <w:kern w:val="0"/>
                <w:sz w:val="24"/>
                <w:szCs w:val="24"/>
              </w:rPr>
            </w:pPr>
            <w:r>
              <w:rPr>
                <w:rFonts w:ascii="宋体" w:hAnsi="宋体" w:cs="宋体"/>
                <w:color w:val="000000"/>
                <w:kern w:val="0"/>
                <w:sz w:val="24"/>
                <w:szCs w:val="24"/>
              </w:rPr>
              <w:t>—</w:t>
            </w:r>
          </w:p>
        </w:tc>
        <w:tc>
          <w:tcPr>
            <w:tcW w:w="3979" w:type="dxa"/>
            <w:tcBorders>
              <w:top w:val="single" w:sz="4" w:space="0" w:color="auto"/>
              <w:left w:val="nil"/>
              <w:bottom w:val="single" w:sz="4" w:space="0" w:color="auto"/>
              <w:right w:val="single" w:sz="4" w:space="0" w:color="auto"/>
            </w:tcBorders>
            <w:noWrap/>
            <w:vAlign w:val="center"/>
          </w:tcPr>
          <w:p w:rsidR="00366504" w:rsidRDefault="00EE11D1">
            <w:pPr>
              <w:jc w:val="center"/>
              <w:rPr>
                <w:rFonts w:ascii="宋体" w:cs="宋体"/>
                <w:color w:val="000000"/>
                <w:kern w:val="0"/>
                <w:sz w:val="24"/>
                <w:szCs w:val="24"/>
              </w:rPr>
            </w:pPr>
            <w:r>
              <w:rPr>
                <w:rFonts w:ascii="宋体" w:hAnsi="宋体" w:cs="宋体"/>
                <w:color w:val="000000"/>
                <w:kern w:val="0"/>
                <w:sz w:val="24"/>
                <w:szCs w:val="24"/>
              </w:rPr>
              <w:t>16,883.50</w:t>
            </w:r>
          </w:p>
        </w:tc>
      </w:tr>
    </w:tbl>
    <w:p w:rsidR="00366504" w:rsidRDefault="00EE11D1">
      <w:pPr>
        <w:ind w:firstLineChars="200" w:firstLine="640"/>
        <w:rPr>
          <w:rFonts w:ascii="仿宋" w:eastAsia="仿宋" w:hAnsi="仿宋"/>
          <w:sz w:val="32"/>
          <w:szCs w:val="32"/>
        </w:rPr>
      </w:pPr>
      <w:r>
        <w:rPr>
          <w:rFonts w:ascii="仿宋" w:eastAsia="仿宋" w:hAnsi="仿宋" w:hint="eastAsia"/>
          <w:sz w:val="32"/>
          <w:szCs w:val="32"/>
        </w:rPr>
        <w:t>说明</w:t>
      </w:r>
      <w:r>
        <w:rPr>
          <w:rFonts w:ascii="仿宋" w:eastAsia="仿宋" w:hAnsi="仿宋"/>
          <w:sz w:val="32"/>
          <w:szCs w:val="32"/>
        </w:rPr>
        <w:t>:</w:t>
      </w:r>
      <w:r>
        <w:rPr>
          <w:rFonts w:ascii="仿宋" w:eastAsia="仿宋" w:hAnsi="仿宋" w:hint="eastAsia"/>
          <w:sz w:val="32"/>
          <w:szCs w:val="32"/>
        </w:rPr>
        <w:t>保定市公安局</w:t>
      </w:r>
      <w:r>
        <w:rPr>
          <w:rFonts w:ascii="仿宋" w:eastAsia="仿宋" w:hAnsi="仿宋"/>
          <w:sz w:val="32"/>
          <w:szCs w:val="32"/>
        </w:rPr>
        <w:t>2017</w:t>
      </w:r>
      <w:r>
        <w:rPr>
          <w:rFonts w:ascii="仿宋" w:eastAsia="仿宋" w:hAnsi="仿宋" w:hint="eastAsia"/>
          <w:sz w:val="32"/>
          <w:szCs w:val="32"/>
        </w:rPr>
        <w:t>年末固定资产期末余额为</w:t>
      </w:r>
      <w:r>
        <w:rPr>
          <w:rFonts w:ascii="仿宋" w:eastAsia="仿宋" w:hAnsi="仿宋"/>
          <w:sz w:val="32"/>
          <w:szCs w:val="32"/>
        </w:rPr>
        <w:t>33,102.18</w:t>
      </w:r>
      <w:r>
        <w:rPr>
          <w:rFonts w:ascii="仿宋" w:eastAsia="仿宋" w:hAnsi="仿宋" w:hint="eastAsia"/>
          <w:sz w:val="32"/>
          <w:szCs w:val="32"/>
        </w:rPr>
        <w:t>万元，占资产总额的</w:t>
      </w:r>
      <w:r>
        <w:rPr>
          <w:rFonts w:ascii="仿宋" w:eastAsia="仿宋" w:hAnsi="仿宋"/>
          <w:sz w:val="32"/>
          <w:szCs w:val="32"/>
        </w:rPr>
        <w:t>26%</w:t>
      </w:r>
      <w:r>
        <w:rPr>
          <w:rFonts w:ascii="仿宋" w:eastAsia="仿宋" w:hAnsi="仿宋" w:hint="eastAsia"/>
          <w:sz w:val="32"/>
          <w:szCs w:val="32"/>
        </w:rPr>
        <w:t>，其中：房屋建筑物</w:t>
      </w:r>
      <w:r>
        <w:rPr>
          <w:rFonts w:ascii="仿宋" w:eastAsia="仿宋" w:hAnsi="仿宋"/>
          <w:sz w:val="32"/>
          <w:szCs w:val="32"/>
        </w:rPr>
        <w:t>77306</w:t>
      </w:r>
      <w:r>
        <w:rPr>
          <w:rFonts w:ascii="仿宋" w:eastAsia="仿宋" w:hAnsi="仿宋" w:hint="eastAsia"/>
          <w:sz w:val="32"/>
          <w:szCs w:val="32"/>
        </w:rPr>
        <w:t>平方米，期末总额</w:t>
      </w:r>
      <w:r>
        <w:rPr>
          <w:rFonts w:ascii="仿宋" w:eastAsia="仿宋" w:hAnsi="仿宋"/>
          <w:sz w:val="32"/>
          <w:szCs w:val="32"/>
        </w:rPr>
        <w:t>5008.1</w:t>
      </w:r>
      <w:r>
        <w:rPr>
          <w:rFonts w:ascii="仿宋" w:eastAsia="仿宋" w:hAnsi="仿宋" w:hint="eastAsia"/>
          <w:sz w:val="32"/>
          <w:szCs w:val="32"/>
        </w:rPr>
        <w:t>万元；汽车</w:t>
      </w:r>
      <w:r>
        <w:rPr>
          <w:rFonts w:ascii="仿宋" w:eastAsia="仿宋" w:hAnsi="仿宋"/>
          <w:sz w:val="32"/>
          <w:szCs w:val="32"/>
        </w:rPr>
        <w:t>912</w:t>
      </w:r>
      <w:r>
        <w:rPr>
          <w:rFonts w:ascii="仿宋" w:eastAsia="仿宋" w:hAnsi="仿宋" w:hint="eastAsia"/>
          <w:sz w:val="32"/>
          <w:szCs w:val="32"/>
        </w:rPr>
        <w:t>辆，期末总额</w:t>
      </w:r>
      <w:r>
        <w:rPr>
          <w:rFonts w:ascii="仿宋" w:eastAsia="仿宋" w:hAnsi="仿宋"/>
          <w:sz w:val="32"/>
          <w:szCs w:val="32"/>
        </w:rPr>
        <w:t>7068</w:t>
      </w:r>
      <w:r>
        <w:rPr>
          <w:rFonts w:ascii="仿宋" w:eastAsia="仿宋" w:hAnsi="仿宋" w:hint="eastAsia"/>
          <w:sz w:val="32"/>
          <w:szCs w:val="32"/>
        </w:rPr>
        <w:t>万元；其他设备</w:t>
      </w:r>
      <w:r>
        <w:rPr>
          <w:rFonts w:ascii="仿宋" w:eastAsia="仿宋" w:hAnsi="仿宋"/>
          <w:sz w:val="32"/>
          <w:szCs w:val="32"/>
        </w:rPr>
        <w:t>16883.5</w:t>
      </w:r>
      <w:r>
        <w:rPr>
          <w:rFonts w:ascii="仿宋" w:eastAsia="仿宋" w:hAnsi="仿宋" w:hint="eastAsia"/>
          <w:sz w:val="32"/>
          <w:szCs w:val="32"/>
        </w:rPr>
        <w:t>万元。</w:t>
      </w:r>
      <w:r>
        <w:rPr>
          <w:rFonts w:ascii="仿宋" w:eastAsia="仿宋" w:hAnsi="仿宋"/>
          <w:sz w:val="32"/>
          <w:szCs w:val="32"/>
        </w:rPr>
        <w:t>2017</w:t>
      </w:r>
      <w:r>
        <w:rPr>
          <w:rFonts w:ascii="仿宋" w:eastAsia="仿宋" w:hAnsi="仿宋" w:hint="eastAsia"/>
          <w:sz w:val="32"/>
          <w:szCs w:val="32"/>
        </w:rPr>
        <w:t>年全年新增固定资产</w:t>
      </w:r>
      <w:r>
        <w:rPr>
          <w:rFonts w:ascii="仿宋" w:eastAsia="仿宋" w:hAnsi="仿宋"/>
          <w:sz w:val="32"/>
          <w:szCs w:val="32"/>
        </w:rPr>
        <w:t>3093.88</w:t>
      </w:r>
      <w:r>
        <w:rPr>
          <w:rFonts w:ascii="仿宋" w:eastAsia="仿宋" w:hAnsi="仿宋" w:hint="eastAsia"/>
          <w:sz w:val="32"/>
          <w:szCs w:val="32"/>
        </w:rPr>
        <w:t>万元。</w:t>
      </w:r>
    </w:p>
    <w:p w:rsidR="00366504" w:rsidRDefault="00EE11D1">
      <w:pPr>
        <w:ind w:firstLineChars="200" w:firstLine="640"/>
        <w:rPr>
          <w:rFonts w:ascii="仿宋" w:eastAsia="仿宋" w:hAnsi="仿宋"/>
          <w:sz w:val="32"/>
          <w:szCs w:val="32"/>
        </w:rPr>
      </w:pPr>
      <w:r>
        <w:rPr>
          <w:rFonts w:ascii="仿宋" w:eastAsia="仿宋" w:hAnsi="仿宋" w:hint="eastAsia"/>
          <w:sz w:val="32"/>
          <w:szCs w:val="32"/>
        </w:rPr>
        <w:t>本部门共有车辆</w:t>
      </w:r>
      <w:r>
        <w:rPr>
          <w:rFonts w:ascii="仿宋" w:eastAsia="仿宋" w:hAnsi="仿宋"/>
          <w:sz w:val="32"/>
          <w:szCs w:val="32"/>
        </w:rPr>
        <w:t>912</w:t>
      </w:r>
      <w:r>
        <w:rPr>
          <w:rFonts w:ascii="仿宋" w:eastAsia="仿宋" w:hAnsi="仿宋" w:hint="eastAsia"/>
          <w:sz w:val="32"/>
          <w:szCs w:val="32"/>
        </w:rPr>
        <w:t>辆，其中，一般公务用车</w:t>
      </w:r>
      <w:r>
        <w:rPr>
          <w:rFonts w:ascii="仿宋" w:eastAsia="仿宋" w:hAnsi="仿宋"/>
          <w:sz w:val="32"/>
          <w:szCs w:val="32"/>
        </w:rPr>
        <w:t>62</w:t>
      </w:r>
      <w:r>
        <w:rPr>
          <w:rFonts w:ascii="仿宋" w:eastAsia="仿宋" w:hAnsi="仿宋" w:hint="eastAsia"/>
          <w:sz w:val="32"/>
          <w:szCs w:val="32"/>
        </w:rPr>
        <w:t>辆、一般执法执勤用车</w:t>
      </w:r>
      <w:r>
        <w:rPr>
          <w:rFonts w:ascii="仿宋" w:eastAsia="仿宋" w:hAnsi="仿宋"/>
          <w:sz w:val="32"/>
          <w:szCs w:val="32"/>
        </w:rPr>
        <w:t>757</w:t>
      </w:r>
      <w:r>
        <w:rPr>
          <w:rFonts w:ascii="仿宋" w:eastAsia="仿宋" w:hAnsi="仿宋" w:hint="eastAsia"/>
          <w:sz w:val="32"/>
          <w:szCs w:val="32"/>
        </w:rPr>
        <w:t>辆、特种专业技术用车</w:t>
      </w:r>
      <w:r>
        <w:rPr>
          <w:rFonts w:ascii="仿宋" w:eastAsia="仿宋" w:hAnsi="仿宋"/>
          <w:sz w:val="32"/>
          <w:szCs w:val="32"/>
        </w:rPr>
        <w:t>87</w:t>
      </w:r>
      <w:r>
        <w:rPr>
          <w:rFonts w:ascii="仿宋" w:eastAsia="仿宋" w:hAnsi="仿宋" w:hint="eastAsia"/>
          <w:sz w:val="32"/>
          <w:szCs w:val="32"/>
        </w:rPr>
        <w:t>辆、其他用车</w:t>
      </w:r>
      <w:r>
        <w:rPr>
          <w:rFonts w:ascii="仿宋" w:eastAsia="仿宋" w:hAnsi="仿宋"/>
          <w:sz w:val="32"/>
          <w:szCs w:val="32"/>
        </w:rPr>
        <w:t>6</w:t>
      </w:r>
      <w:r>
        <w:rPr>
          <w:rFonts w:ascii="仿宋" w:eastAsia="仿宋" w:hAnsi="仿宋" w:hint="eastAsia"/>
          <w:sz w:val="32"/>
          <w:szCs w:val="32"/>
        </w:rPr>
        <w:t>辆，其他用车主要是用于采购物资的货车；单位价值</w:t>
      </w:r>
      <w:r>
        <w:rPr>
          <w:rFonts w:ascii="仿宋" w:eastAsia="仿宋" w:hAnsi="仿宋"/>
          <w:sz w:val="32"/>
          <w:szCs w:val="32"/>
        </w:rPr>
        <w:t>50</w:t>
      </w:r>
      <w:r>
        <w:rPr>
          <w:rFonts w:ascii="仿宋" w:eastAsia="仿宋" w:hAnsi="仿宋" w:hint="eastAsia"/>
          <w:sz w:val="32"/>
          <w:szCs w:val="32"/>
        </w:rPr>
        <w:t>万元以上大型设备</w:t>
      </w:r>
      <w:r>
        <w:rPr>
          <w:rFonts w:ascii="仿宋" w:eastAsia="仿宋" w:hAnsi="仿宋"/>
          <w:sz w:val="32"/>
          <w:szCs w:val="32"/>
        </w:rPr>
        <w:t>60</w:t>
      </w:r>
      <w:r>
        <w:rPr>
          <w:rFonts w:ascii="仿宋" w:eastAsia="仿宋" w:hAnsi="仿宋" w:hint="eastAsia"/>
          <w:sz w:val="32"/>
          <w:szCs w:val="32"/>
        </w:rPr>
        <w:t>台（套）。</w:t>
      </w:r>
    </w:p>
    <w:p w:rsidR="00366504" w:rsidRDefault="00366504">
      <w:pPr>
        <w:spacing w:line="520" w:lineRule="exact"/>
        <w:ind w:firstLineChars="200" w:firstLine="640"/>
        <w:jc w:val="left"/>
        <w:outlineLvl w:val="0"/>
        <w:rPr>
          <w:rFonts w:ascii="仿宋_GB2312" w:eastAsia="仿宋_GB2312" w:hAnsi="仿宋"/>
          <w:sz w:val="32"/>
          <w:szCs w:val="32"/>
        </w:rPr>
      </w:pPr>
    </w:p>
    <w:p w:rsidR="00366504" w:rsidRDefault="00EE11D1">
      <w:pPr>
        <w:spacing w:line="500" w:lineRule="exact"/>
        <w:jc w:val="center"/>
        <w:outlineLvl w:val="0"/>
        <w:rPr>
          <w:rFonts w:ascii="黑体" w:eastAsia="黑体" w:hAnsi="黑体"/>
          <w:sz w:val="32"/>
          <w:szCs w:val="32"/>
        </w:rPr>
      </w:pPr>
      <w:r>
        <w:rPr>
          <w:rFonts w:ascii="黑体" w:eastAsia="黑体" w:hAnsi="黑体" w:hint="eastAsia"/>
          <w:sz w:val="32"/>
          <w:szCs w:val="32"/>
        </w:rPr>
        <w:t>第八部分：名词解释</w:t>
      </w:r>
    </w:p>
    <w:p w:rsidR="00366504" w:rsidRDefault="00366504">
      <w:pPr>
        <w:spacing w:line="500" w:lineRule="exact"/>
        <w:jc w:val="center"/>
        <w:outlineLvl w:val="0"/>
        <w:rPr>
          <w:rFonts w:ascii="仿宋" w:eastAsia="仿宋" w:hAnsi="仿宋"/>
          <w:b/>
          <w:sz w:val="32"/>
          <w:szCs w:val="32"/>
        </w:rPr>
      </w:pPr>
    </w:p>
    <w:p w:rsidR="00366504" w:rsidRDefault="00EE11D1">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（一）财政拨款收入：本年度从本级财政部门取得的财政拨款，包</w:t>
      </w:r>
      <w:r>
        <w:rPr>
          <w:rFonts w:ascii="仿宋" w:eastAsia="仿宋" w:hAnsi="仿宋" w:cs="宋体" w:hint="eastAsia"/>
          <w:bCs/>
          <w:color w:val="000000"/>
          <w:kern w:val="0"/>
          <w:sz w:val="32"/>
          <w:szCs w:val="32"/>
        </w:rPr>
        <w:t>括一般公共预算财政拨款和政府性基金预算财政拨款。</w:t>
      </w:r>
    </w:p>
    <w:p w:rsidR="00366504" w:rsidRDefault="00EE11D1">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（二）事业收入：指事业单位开展专业业务活动及辅助活动所取得的收入。</w:t>
      </w:r>
    </w:p>
    <w:p w:rsidR="00366504" w:rsidRDefault="00EE11D1">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（三）其他收入：指除上述“财政拨款收入”、“事业收入”、“经营收入”等以外的收入。</w:t>
      </w:r>
    </w:p>
    <w:p w:rsidR="00366504" w:rsidRDefault="00EE11D1">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（四）用事业基金弥补收支差额：指事业单位在用当年的“财政拨款收入”、“财政拨款结转和结余资金”、“事业收入”、“经营</w:t>
      </w:r>
      <w:r>
        <w:rPr>
          <w:rFonts w:ascii="仿宋" w:eastAsia="仿宋" w:hAnsi="仿宋" w:cs="宋体" w:hint="eastAsia"/>
          <w:bCs/>
          <w:color w:val="000000"/>
          <w:kern w:val="0"/>
          <w:sz w:val="32"/>
          <w:szCs w:val="32"/>
        </w:rPr>
        <w:lastRenderedPageBreak/>
        <w:t>收入”、“其他收入”不足以安排当年支出的情况下，使用以前年度积累的事业基金（事业单位当年收支相抵后按国家规定提取、用于弥补以后年度收支差额的基金）弥补本年度收支缺口的资金。</w:t>
      </w:r>
    </w:p>
    <w:p w:rsidR="00366504" w:rsidRDefault="00EE11D1">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（五）年初结转和结余：指以前年度尚未完成、结转到本年仍按原规定用途继续使用的资金，或项目已完成等产生的结余资金。</w:t>
      </w:r>
    </w:p>
    <w:p w:rsidR="00366504" w:rsidRDefault="00EE11D1">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（六）结余分配：指事业单位按照事业单位会计制度的规定从非财政补助结余中分配的事业基金和职工福利基金等。</w:t>
      </w:r>
    </w:p>
    <w:p w:rsidR="00366504" w:rsidRDefault="00EE11D1">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（七）年末结转和结余：指单位按有关规定结转到下年或以后年度继续使用的资金，或项目已完成等产生的结余资金。</w:t>
      </w:r>
    </w:p>
    <w:p w:rsidR="00366504" w:rsidRDefault="00EE11D1">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（八）基本支出：填列单位为保障机构正常运转、完成日常工作任务而发生的各项支出。</w:t>
      </w:r>
    </w:p>
    <w:p w:rsidR="00366504" w:rsidRDefault="00EE11D1">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（九）项目支出：填列单位为完成特定的行政工作任务或事业发展目标，在基本支出之外发生的各项支出</w:t>
      </w:r>
    </w:p>
    <w:p w:rsidR="00366504" w:rsidRDefault="00EE11D1">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（十）基本建设</w:t>
      </w:r>
      <w:r>
        <w:rPr>
          <w:rFonts w:ascii="仿宋" w:eastAsia="仿宋" w:hAnsi="仿宋" w:cs="宋体" w:hint="eastAsia"/>
          <w:bCs/>
          <w:color w:val="000000"/>
          <w:kern w:val="0"/>
          <w:sz w:val="32"/>
          <w:szCs w:val="32"/>
        </w:rPr>
        <w:t>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366504" w:rsidRDefault="00EE11D1">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rsidR="00366504" w:rsidRDefault="00EE11D1">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（十二）“三公”经费：指部门用财政拨款安排的因公出国（境）费、公务用车购置及运行费和公务接待费。其中，因公出国（境）</w:t>
      </w:r>
      <w:proofErr w:type="gramStart"/>
      <w:r>
        <w:rPr>
          <w:rFonts w:ascii="仿宋" w:eastAsia="仿宋" w:hAnsi="仿宋" w:cs="宋体" w:hint="eastAsia"/>
          <w:bCs/>
          <w:color w:val="000000"/>
          <w:kern w:val="0"/>
          <w:sz w:val="32"/>
          <w:szCs w:val="32"/>
        </w:rPr>
        <w:t>费反</w:t>
      </w:r>
      <w:r>
        <w:rPr>
          <w:rFonts w:ascii="仿宋" w:eastAsia="仿宋" w:hAnsi="仿宋" w:cs="宋体" w:hint="eastAsia"/>
          <w:bCs/>
          <w:color w:val="000000"/>
          <w:kern w:val="0"/>
          <w:sz w:val="32"/>
          <w:szCs w:val="32"/>
        </w:rPr>
        <w:t>映</w:t>
      </w:r>
      <w:proofErr w:type="gramEnd"/>
      <w:r>
        <w:rPr>
          <w:rFonts w:ascii="仿宋" w:eastAsia="仿宋" w:hAnsi="仿宋" w:cs="宋体" w:hint="eastAsia"/>
          <w:bCs/>
          <w:color w:val="000000"/>
          <w:kern w:val="0"/>
          <w:sz w:val="32"/>
          <w:szCs w:val="32"/>
        </w:rPr>
        <w:t>单位公务出国（境）的国际旅费、国外城市间交通费、住宿费、伙食费、培训费、公杂费等支出；公务用车购置及运行</w:t>
      </w:r>
      <w:proofErr w:type="gramStart"/>
      <w:r>
        <w:rPr>
          <w:rFonts w:ascii="仿宋" w:eastAsia="仿宋" w:hAnsi="仿宋" w:cs="宋体" w:hint="eastAsia"/>
          <w:bCs/>
          <w:color w:val="000000"/>
          <w:kern w:val="0"/>
          <w:sz w:val="32"/>
          <w:szCs w:val="32"/>
        </w:rPr>
        <w:t>费反映</w:t>
      </w:r>
      <w:proofErr w:type="gramEnd"/>
      <w:r>
        <w:rPr>
          <w:rFonts w:ascii="仿宋" w:eastAsia="仿宋" w:hAnsi="仿宋" w:cs="宋体" w:hint="eastAsia"/>
          <w:bCs/>
          <w:color w:val="000000"/>
          <w:kern w:val="0"/>
          <w:sz w:val="32"/>
          <w:szCs w:val="32"/>
        </w:rPr>
        <w:t>单位公务用车购置支出（</w:t>
      </w:r>
      <w:proofErr w:type="gramStart"/>
      <w:r>
        <w:rPr>
          <w:rFonts w:ascii="仿宋" w:eastAsia="仿宋" w:hAnsi="仿宋" w:cs="宋体" w:hint="eastAsia"/>
          <w:bCs/>
          <w:color w:val="000000"/>
          <w:kern w:val="0"/>
          <w:sz w:val="32"/>
          <w:szCs w:val="32"/>
        </w:rPr>
        <w:t>含车辆</w:t>
      </w:r>
      <w:proofErr w:type="gramEnd"/>
      <w:r>
        <w:rPr>
          <w:rFonts w:ascii="仿宋" w:eastAsia="仿宋" w:hAnsi="仿宋" w:cs="宋体" w:hint="eastAsia"/>
          <w:bCs/>
          <w:color w:val="000000"/>
          <w:kern w:val="0"/>
          <w:sz w:val="32"/>
          <w:szCs w:val="32"/>
        </w:rPr>
        <w:t>购置税）及租用费、燃料费、维修费、过路过桥费、保险费、安全奖励费用等支出；公务接待</w:t>
      </w:r>
      <w:proofErr w:type="gramStart"/>
      <w:r>
        <w:rPr>
          <w:rFonts w:ascii="仿宋" w:eastAsia="仿宋" w:hAnsi="仿宋" w:cs="宋体" w:hint="eastAsia"/>
          <w:bCs/>
          <w:color w:val="000000"/>
          <w:kern w:val="0"/>
          <w:sz w:val="32"/>
          <w:szCs w:val="32"/>
        </w:rPr>
        <w:t>费反映</w:t>
      </w:r>
      <w:proofErr w:type="gramEnd"/>
      <w:r>
        <w:rPr>
          <w:rFonts w:ascii="仿宋" w:eastAsia="仿宋" w:hAnsi="仿宋" w:cs="宋体" w:hint="eastAsia"/>
          <w:bCs/>
          <w:color w:val="000000"/>
          <w:kern w:val="0"/>
          <w:sz w:val="32"/>
          <w:szCs w:val="32"/>
        </w:rPr>
        <w:t>单位按规定开支的各类公务接待（含外宾接待）支出。</w:t>
      </w:r>
    </w:p>
    <w:p w:rsidR="00366504" w:rsidRDefault="00EE11D1">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（十三）其他交通费用：填列单位除公务用车运行维护费以外的其他交通费用。如飞机、船舶等的燃料费、维修费、过桥过路费、保险费、出租车费用、公务交通补贴等。</w:t>
      </w:r>
    </w:p>
    <w:p w:rsidR="00366504" w:rsidRDefault="00EE11D1">
      <w:pPr>
        <w:ind w:firstLineChars="200" w:firstLine="640"/>
        <w:outlineLvl w:val="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（十四）公务用车购置：填列单位公务用车车辆购置支出（</w:t>
      </w:r>
      <w:proofErr w:type="gramStart"/>
      <w:r>
        <w:rPr>
          <w:rFonts w:ascii="仿宋" w:eastAsia="仿宋" w:hAnsi="仿宋" w:cs="宋体" w:hint="eastAsia"/>
          <w:bCs/>
          <w:color w:val="000000"/>
          <w:kern w:val="0"/>
          <w:sz w:val="32"/>
          <w:szCs w:val="32"/>
        </w:rPr>
        <w:t>含车辆</w:t>
      </w:r>
      <w:proofErr w:type="gramEnd"/>
      <w:r>
        <w:rPr>
          <w:rFonts w:ascii="仿宋" w:eastAsia="仿宋" w:hAnsi="仿宋" w:cs="宋体" w:hint="eastAsia"/>
          <w:bCs/>
          <w:color w:val="000000"/>
          <w:kern w:val="0"/>
          <w:sz w:val="32"/>
          <w:szCs w:val="32"/>
        </w:rPr>
        <w:t>购置税）。</w:t>
      </w:r>
    </w:p>
    <w:p w:rsidR="00366504" w:rsidRDefault="00366504">
      <w:pPr>
        <w:ind w:firstLineChars="200" w:firstLine="640"/>
        <w:outlineLvl w:val="0"/>
        <w:rPr>
          <w:rFonts w:ascii="仿宋" w:eastAsia="仿宋" w:hAnsi="仿宋" w:cs="宋体"/>
          <w:bCs/>
          <w:color w:val="000000"/>
          <w:kern w:val="0"/>
          <w:sz w:val="32"/>
          <w:szCs w:val="32"/>
        </w:rPr>
      </w:pPr>
    </w:p>
    <w:p w:rsidR="00366504" w:rsidRDefault="00EE11D1">
      <w:pPr>
        <w:spacing w:line="500" w:lineRule="exact"/>
        <w:jc w:val="center"/>
        <w:outlineLvl w:val="0"/>
        <w:rPr>
          <w:rFonts w:ascii="黑体" w:eastAsia="黑体" w:hAnsi="黑体"/>
          <w:sz w:val="32"/>
          <w:szCs w:val="32"/>
        </w:rPr>
      </w:pPr>
      <w:r>
        <w:rPr>
          <w:rFonts w:ascii="黑体" w:eastAsia="黑体" w:hAnsi="黑体" w:hint="eastAsia"/>
          <w:sz w:val="32"/>
          <w:szCs w:val="32"/>
        </w:rPr>
        <w:lastRenderedPageBreak/>
        <w:t>第九部分：</w:t>
      </w:r>
      <w:r>
        <w:rPr>
          <w:rFonts w:ascii="黑体" w:eastAsia="黑体" w:hAnsi="黑体" w:hint="eastAsia"/>
          <w:sz w:val="32"/>
          <w:szCs w:val="32"/>
        </w:rPr>
        <w:t>其他需要说明的事项</w:t>
      </w:r>
    </w:p>
    <w:p w:rsidR="00366504" w:rsidRDefault="00366504">
      <w:pPr>
        <w:spacing w:line="500" w:lineRule="exact"/>
        <w:ind w:firstLineChars="395" w:firstLine="1264"/>
        <w:jc w:val="left"/>
        <w:outlineLvl w:val="0"/>
        <w:rPr>
          <w:rFonts w:ascii="仿宋" w:eastAsia="仿宋" w:hAnsi="仿宋"/>
          <w:sz w:val="32"/>
          <w:szCs w:val="32"/>
        </w:rPr>
      </w:pPr>
    </w:p>
    <w:p w:rsidR="00366504" w:rsidRDefault="00EE11D1">
      <w:pPr>
        <w:spacing w:line="500" w:lineRule="exact"/>
        <w:ind w:firstLineChars="200" w:firstLine="640"/>
        <w:jc w:val="left"/>
        <w:outlineLvl w:val="0"/>
        <w:rPr>
          <w:rFonts w:ascii="仿宋" w:eastAsia="仿宋" w:hAnsi="仿宋"/>
          <w:sz w:val="32"/>
          <w:szCs w:val="32"/>
        </w:rPr>
      </w:pPr>
      <w:r>
        <w:rPr>
          <w:rFonts w:ascii="仿宋_GB2312" w:eastAsia="仿宋_GB2312" w:hAnsi="仿宋" w:hint="eastAsia"/>
          <w:sz w:val="32"/>
          <w:szCs w:val="32"/>
        </w:rPr>
        <w:t>无其他需要说明的事项。</w:t>
      </w:r>
      <w:r>
        <w:rPr>
          <w:rFonts w:ascii="仿宋" w:eastAsia="仿宋" w:hAnsi="仿宋"/>
          <w:sz w:val="32"/>
          <w:szCs w:val="32"/>
        </w:rPr>
        <w:t xml:space="preserve">                                     </w:t>
      </w:r>
    </w:p>
    <w:p w:rsidR="00366504" w:rsidRDefault="00366504"/>
    <w:sectPr w:rsidR="00366504">
      <w:pgSz w:w="11907" w:h="16839"/>
      <w:pgMar w:top="1531" w:right="1134" w:bottom="1474" w:left="1134"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仿宋_GBK">
    <w:altName w:val="方正小标宋简体"/>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Y4MTVhZmI4NWQxMjljZDNiNjU1Zjg5ZjE1OGFmYzYifQ=="/>
  </w:docVars>
  <w:rsids>
    <w:rsidRoot w:val="007F4840"/>
    <w:rsid w:val="00081364"/>
    <w:rsid w:val="00095DEA"/>
    <w:rsid w:val="000D01A4"/>
    <w:rsid w:val="000D1E79"/>
    <w:rsid w:val="000E21D5"/>
    <w:rsid w:val="00100688"/>
    <w:rsid w:val="00107BFB"/>
    <w:rsid w:val="00122C26"/>
    <w:rsid w:val="00132271"/>
    <w:rsid w:val="00155D5B"/>
    <w:rsid w:val="00181E9F"/>
    <w:rsid w:val="0018239D"/>
    <w:rsid w:val="0020204E"/>
    <w:rsid w:val="002034C3"/>
    <w:rsid w:val="002172D4"/>
    <w:rsid w:val="00231331"/>
    <w:rsid w:val="00233AE8"/>
    <w:rsid w:val="00261999"/>
    <w:rsid w:val="00274AB8"/>
    <w:rsid w:val="00280AAC"/>
    <w:rsid w:val="00280E47"/>
    <w:rsid w:val="002A65CE"/>
    <w:rsid w:val="00332F79"/>
    <w:rsid w:val="00332F96"/>
    <w:rsid w:val="003332ED"/>
    <w:rsid w:val="0033479D"/>
    <w:rsid w:val="0036137F"/>
    <w:rsid w:val="00366504"/>
    <w:rsid w:val="00394D71"/>
    <w:rsid w:val="003D524A"/>
    <w:rsid w:val="003E71C7"/>
    <w:rsid w:val="00406301"/>
    <w:rsid w:val="0043110E"/>
    <w:rsid w:val="00436DF0"/>
    <w:rsid w:val="004503CD"/>
    <w:rsid w:val="00484267"/>
    <w:rsid w:val="004B716C"/>
    <w:rsid w:val="004E6891"/>
    <w:rsid w:val="004E7F67"/>
    <w:rsid w:val="004F35AB"/>
    <w:rsid w:val="004F50B4"/>
    <w:rsid w:val="00500076"/>
    <w:rsid w:val="005100A3"/>
    <w:rsid w:val="0053070F"/>
    <w:rsid w:val="00545980"/>
    <w:rsid w:val="005568CE"/>
    <w:rsid w:val="005574FB"/>
    <w:rsid w:val="0057068F"/>
    <w:rsid w:val="00575606"/>
    <w:rsid w:val="005875EB"/>
    <w:rsid w:val="005C26B4"/>
    <w:rsid w:val="006033F9"/>
    <w:rsid w:val="00700AF5"/>
    <w:rsid w:val="00713F90"/>
    <w:rsid w:val="007304E6"/>
    <w:rsid w:val="007364B5"/>
    <w:rsid w:val="007730DA"/>
    <w:rsid w:val="00775615"/>
    <w:rsid w:val="00777AB9"/>
    <w:rsid w:val="00784C92"/>
    <w:rsid w:val="007A3800"/>
    <w:rsid w:val="007A6E49"/>
    <w:rsid w:val="007B3111"/>
    <w:rsid w:val="007C5F1D"/>
    <w:rsid w:val="007D069F"/>
    <w:rsid w:val="007D1917"/>
    <w:rsid w:val="007E3316"/>
    <w:rsid w:val="007F4840"/>
    <w:rsid w:val="0081612A"/>
    <w:rsid w:val="00851E7F"/>
    <w:rsid w:val="00854A20"/>
    <w:rsid w:val="008B53F4"/>
    <w:rsid w:val="008C67E4"/>
    <w:rsid w:val="008D662E"/>
    <w:rsid w:val="00911849"/>
    <w:rsid w:val="00937E3E"/>
    <w:rsid w:val="00973AB3"/>
    <w:rsid w:val="00977DA6"/>
    <w:rsid w:val="009C699D"/>
    <w:rsid w:val="009D3DB8"/>
    <w:rsid w:val="00A03B56"/>
    <w:rsid w:val="00A04F5E"/>
    <w:rsid w:val="00A06E3B"/>
    <w:rsid w:val="00A17FDB"/>
    <w:rsid w:val="00A37AA1"/>
    <w:rsid w:val="00A53EF7"/>
    <w:rsid w:val="00A66840"/>
    <w:rsid w:val="00AD5BB4"/>
    <w:rsid w:val="00AE3996"/>
    <w:rsid w:val="00AE3FBA"/>
    <w:rsid w:val="00B03EBD"/>
    <w:rsid w:val="00B11659"/>
    <w:rsid w:val="00B31DBC"/>
    <w:rsid w:val="00B35268"/>
    <w:rsid w:val="00B438C9"/>
    <w:rsid w:val="00B615DB"/>
    <w:rsid w:val="00B84905"/>
    <w:rsid w:val="00B85B66"/>
    <w:rsid w:val="00BF61B8"/>
    <w:rsid w:val="00C077A6"/>
    <w:rsid w:val="00C6056A"/>
    <w:rsid w:val="00C96EDD"/>
    <w:rsid w:val="00C96FC6"/>
    <w:rsid w:val="00CD6341"/>
    <w:rsid w:val="00CE7239"/>
    <w:rsid w:val="00D10D26"/>
    <w:rsid w:val="00D271C7"/>
    <w:rsid w:val="00D800B6"/>
    <w:rsid w:val="00D835A1"/>
    <w:rsid w:val="00DB4FCC"/>
    <w:rsid w:val="00DC3E8D"/>
    <w:rsid w:val="00E0719D"/>
    <w:rsid w:val="00E37C74"/>
    <w:rsid w:val="00E4353C"/>
    <w:rsid w:val="00E66A19"/>
    <w:rsid w:val="00EB705A"/>
    <w:rsid w:val="00ED5E24"/>
    <w:rsid w:val="00EE11D1"/>
    <w:rsid w:val="00F013E7"/>
    <w:rsid w:val="00F022D8"/>
    <w:rsid w:val="00F62852"/>
    <w:rsid w:val="00F62F61"/>
    <w:rsid w:val="00F807DB"/>
    <w:rsid w:val="00F83746"/>
    <w:rsid w:val="00F93ACC"/>
    <w:rsid w:val="00F93BAC"/>
    <w:rsid w:val="00F9736A"/>
    <w:rsid w:val="00FA1FE1"/>
    <w:rsid w:val="00FC01AF"/>
    <w:rsid w:val="00FC1624"/>
    <w:rsid w:val="00FD3750"/>
    <w:rsid w:val="00FF5899"/>
    <w:rsid w:val="024F2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62E8687-C9B8-4255-BAA9-2D0F62A5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qFormat/>
    <w:pPr>
      <w:tabs>
        <w:tab w:val="center" w:pos="4153"/>
        <w:tab w:val="right" w:pos="8306"/>
      </w:tabs>
      <w:snapToGrid w:val="0"/>
      <w:jc w:val="left"/>
    </w:pPr>
    <w:rPr>
      <w:sz w:val="18"/>
      <w:szCs w:val="18"/>
    </w:rPr>
  </w:style>
  <w:style w:type="paragraph" w:styleId="a5">
    <w:name w:val="header"/>
    <w:basedOn w:val="a"/>
    <w:link w:val="a6"/>
    <w:uiPriority w:val="99"/>
    <w:semiHidden/>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qFormat/>
    <w:locked/>
    <w:rPr>
      <w:rFonts w:cs="Times New Roman"/>
      <w:sz w:val="18"/>
      <w:szCs w:val="18"/>
    </w:rPr>
  </w:style>
  <w:style w:type="character" w:customStyle="1" w:styleId="a4">
    <w:name w:val="页脚 字符"/>
    <w:link w:val="a3"/>
    <w:uiPriority w:val="99"/>
    <w:semiHidden/>
    <w:qFormat/>
    <w:locked/>
    <w:rPr>
      <w:rFonts w:cs="Times New Roman"/>
      <w:sz w:val="18"/>
      <w:szCs w:val="18"/>
    </w:rPr>
  </w:style>
  <w:style w:type="paragraph" w:customStyle="1" w:styleId="Normal">
    <w:name w:val="[Normal]"/>
    <w:uiPriority w:val="99"/>
    <w:qFormat/>
    <w:pPr>
      <w:widowControl w:val="0"/>
      <w:autoSpaceDE w:val="0"/>
      <w:autoSpaceDN w:val="0"/>
      <w:adjustRightInd w:val="0"/>
    </w:pPr>
    <w:rPr>
      <w:rFonts w:ascii="宋体" w:hAnsi="Times New Roman" w:cs="宋体"/>
      <w:sz w:val="24"/>
      <w:szCs w:val="24"/>
    </w:rPr>
  </w:style>
  <w:style w:type="paragraph" w:styleId="a7">
    <w:name w:val="List Paragraph"/>
    <w:basedOn w:val="a"/>
    <w:uiPriority w:val="99"/>
    <w:qFormat/>
    <w:pPr>
      <w:widowControl/>
      <w:adjustRightInd w:val="0"/>
      <w:snapToGrid w:val="0"/>
      <w:spacing w:after="200"/>
      <w:ind w:firstLineChars="200" w:firstLine="420"/>
      <w:jc w:val="left"/>
    </w:pPr>
    <w:rPr>
      <w:rFonts w:ascii="Tahoma" w:eastAsia="微软雅黑" w:hAnsi="Tahoma"/>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8</Pages>
  <Words>725</Words>
  <Characters>4137</Characters>
  <Application>Microsoft Office Word</Application>
  <DocSecurity>0</DocSecurity>
  <Lines>34</Lines>
  <Paragraphs>9</Paragraphs>
  <ScaleCrop>false</ScaleCrop>
  <Company>Microsoft</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1</cp:lastModifiedBy>
  <cp:revision>71</cp:revision>
  <dcterms:created xsi:type="dcterms:W3CDTF">2017-10-27T08:13:00Z</dcterms:created>
  <dcterms:modified xsi:type="dcterms:W3CDTF">2024-05-31T01:49:00Z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B264B21DCF784737A9651DB6D3C50F08_12</vt:lpwstr>
  </property>
</Properties>
</file>