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B2EF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60" w:lineRule="exact"/>
        <w:ind w:right="0"/>
        <w:jc w:val="center"/>
        <w:textAlignment w:val="auto"/>
        <w:rPr>
          <w:rFonts w:hint="default" w:ascii="Times New Roman" w:hAnsi="Times New Roman" w:eastAsia="方正小标宋简体" w:cs="Times New Roman"/>
          <w:b w:val="0"/>
          <w:bCs w:val="0"/>
          <w:i w:val="0"/>
          <w:iCs w:val="0"/>
          <w:caps w:val="0"/>
          <w:color w:val="333333"/>
          <w:spacing w:val="15"/>
          <w:kern w:val="0"/>
          <w:sz w:val="44"/>
          <w:szCs w:val="44"/>
          <w:shd w:val="clear" w:fill="FFFFFF"/>
          <w:lang w:val="en-US" w:eastAsia="zh-CN" w:bidi="ar"/>
        </w:rPr>
      </w:pPr>
      <w:r>
        <w:rPr>
          <w:rFonts w:hint="default" w:ascii="Times New Roman" w:hAnsi="Times New Roman" w:eastAsia="方正小标宋简体" w:cs="Times New Roman"/>
          <w:b w:val="0"/>
          <w:bCs w:val="0"/>
          <w:i w:val="0"/>
          <w:iCs w:val="0"/>
          <w:caps w:val="0"/>
          <w:color w:val="333333"/>
          <w:spacing w:val="15"/>
          <w:kern w:val="0"/>
          <w:sz w:val="44"/>
          <w:szCs w:val="44"/>
          <w:shd w:val="clear" w:fill="FFFFFF"/>
          <w:lang w:val="en-US" w:eastAsia="zh-CN" w:bidi="ar"/>
        </w:rPr>
        <w:t>《河北省预防未成年人犯罪条例》</w:t>
      </w:r>
    </w:p>
    <w:p w14:paraId="0EF65E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60" w:lineRule="exact"/>
        <w:ind w:right="0"/>
        <w:jc w:val="center"/>
        <w:textAlignment w:val="auto"/>
        <w:rPr>
          <w:rFonts w:hint="default" w:ascii="Times New Roman" w:hAnsi="Times New Roman" w:eastAsia="方正小标宋简体" w:cs="Times New Roman"/>
          <w:b w:val="0"/>
          <w:bCs w:val="0"/>
          <w:i w:val="0"/>
          <w:iCs w:val="0"/>
          <w:caps w:val="0"/>
          <w:color w:val="333333"/>
          <w:spacing w:val="15"/>
          <w:kern w:val="0"/>
          <w:sz w:val="44"/>
          <w:szCs w:val="44"/>
          <w:shd w:val="clear" w:fill="FFFFFF"/>
          <w:lang w:val="en-US" w:eastAsia="zh-CN" w:bidi="ar"/>
        </w:rPr>
      </w:pPr>
      <w:r>
        <w:rPr>
          <w:rFonts w:hint="default" w:ascii="Times New Roman" w:hAnsi="Times New Roman" w:eastAsia="方正小标宋简体" w:cs="Times New Roman"/>
          <w:b w:val="0"/>
          <w:bCs w:val="0"/>
          <w:i w:val="0"/>
          <w:iCs w:val="0"/>
          <w:caps w:val="0"/>
          <w:color w:val="333333"/>
          <w:spacing w:val="15"/>
          <w:kern w:val="0"/>
          <w:sz w:val="44"/>
          <w:szCs w:val="44"/>
          <w:shd w:val="clear" w:fill="FFFFFF"/>
          <w:lang w:val="en-US" w:eastAsia="zh-CN" w:bidi="ar"/>
        </w:rPr>
        <w:t>审议通过 5月1日起施行</w:t>
      </w:r>
    </w:p>
    <w:p w14:paraId="0E0CE0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60" w:lineRule="exact"/>
        <w:ind w:right="0"/>
        <w:jc w:val="center"/>
        <w:textAlignment w:val="auto"/>
        <w:rPr>
          <w:rFonts w:hint="default" w:ascii="Times New Roman" w:hAnsi="Times New Roman" w:eastAsia="方正小标宋简体" w:cs="Times New Roman"/>
          <w:b w:val="0"/>
          <w:bCs w:val="0"/>
          <w:i w:val="0"/>
          <w:iCs w:val="0"/>
          <w:caps w:val="0"/>
          <w:color w:val="333333"/>
          <w:spacing w:val="15"/>
          <w:kern w:val="0"/>
          <w:sz w:val="44"/>
          <w:szCs w:val="44"/>
          <w:shd w:val="clear" w:fill="FFFFFF"/>
          <w:lang w:val="en-US" w:eastAsia="zh-CN" w:bidi="ar"/>
        </w:rPr>
      </w:pPr>
    </w:p>
    <w:p w14:paraId="5BB33A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60" w:lineRule="exact"/>
        <w:ind w:left="0" w:right="0" w:firstLine="620"/>
        <w:jc w:val="both"/>
        <w:textAlignment w:val="auto"/>
        <w:rPr>
          <w:rFonts w:hint="default" w:ascii="Times New Roman" w:hAnsi="Times New Roman" w:eastAsia="仿宋" w:cs="Times New Roman"/>
          <w:i w:val="0"/>
          <w:iCs w:val="0"/>
          <w:caps w:val="0"/>
          <w:color w:val="666666"/>
          <w:spacing w:val="0"/>
          <w:sz w:val="32"/>
          <w:szCs w:val="32"/>
        </w:rPr>
      </w:pPr>
      <w:r>
        <w:rPr>
          <w:rFonts w:hint="default" w:ascii="Times New Roman" w:hAnsi="Times New Roman" w:eastAsia="仿宋" w:cs="Times New Roman"/>
          <w:b w:val="0"/>
          <w:bCs w:val="0"/>
          <w:i w:val="0"/>
          <w:iCs w:val="0"/>
          <w:caps w:val="0"/>
          <w:color w:val="333333"/>
          <w:spacing w:val="15"/>
          <w:kern w:val="0"/>
          <w:sz w:val="32"/>
          <w:szCs w:val="32"/>
          <w:shd w:val="clear" w:fill="FFFFFF"/>
          <w:lang w:val="en-US" w:eastAsia="zh-CN" w:bidi="ar"/>
        </w:rPr>
        <w:t>记者从河北省人大常委会3月27日召开的新闻发布会上获悉，3月26日，省十四届人大常委会第二十次会议表决通过了《河北省预防未成年人犯罪条例》（以下简称《条例》），自2</w:t>
      </w:r>
      <w:bookmarkStart w:id="0" w:name="_GoBack"/>
      <w:bookmarkEnd w:id="0"/>
      <w:r>
        <w:rPr>
          <w:rFonts w:hint="default" w:ascii="Times New Roman" w:hAnsi="Times New Roman" w:eastAsia="仿宋" w:cs="Times New Roman"/>
          <w:b w:val="0"/>
          <w:bCs w:val="0"/>
          <w:i w:val="0"/>
          <w:iCs w:val="0"/>
          <w:caps w:val="0"/>
          <w:color w:val="333333"/>
          <w:spacing w:val="15"/>
          <w:kern w:val="0"/>
          <w:sz w:val="32"/>
          <w:szCs w:val="32"/>
          <w:shd w:val="clear" w:fill="FFFFFF"/>
          <w:lang w:val="en-US" w:eastAsia="zh-CN" w:bidi="ar"/>
        </w:rPr>
        <w:t>026年5月1日起施行。</w:t>
      </w:r>
    </w:p>
    <w:p w14:paraId="2DCD37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60" w:lineRule="exact"/>
        <w:ind w:left="0" w:right="0" w:firstLine="620"/>
        <w:jc w:val="both"/>
        <w:textAlignment w:val="auto"/>
        <w:rPr>
          <w:rFonts w:hint="default" w:ascii="Times New Roman" w:hAnsi="Times New Roman" w:eastAsia="仿宋" w:cs="Times New Roman"/>
          <w:i w:val="0"/>
          <w:iCs w:val="0"/>
          <w:caps w:val="0"/>
          <w:color w:val="666666"/>
          <w:spacing w:val="0"/>
          <w:sz w:val="32"/>
          <w:szCs w:val="32"/>
        </w:rPr>
      </w:pPr>
      <w:r>
        <w:rPr>
          <w:rFonts w:hint="default" w:ascii="Times New Roman" w:hAnsi="Times New Roman" w:eastAsia="仿宋" w:cs="Times New Roman"/>
          <w:b w:val="0"/>
          <w:bCs w:val="0"/>
          <w:i w:val="0"/>
          <w:iCs w:val="0"/>
          <w:caps w:val="0"/>
          <w:color w:val="333333"/>
          <w:spacing w:val="15"/>
          <w:kern w:val="0"/>
          <w:sz w:val="32"/>
          <w:szCs w:val="32"/>
          <w:shd w:val="clear" w:fill="FFFFFF"/>
          <w:lang w:val="en-US" w:eastAsia="zh-CN" w:bidi="ar"/>
        </w:rPr>
        <w:t>《条例》共8章64条，在全面实施上位法的基础上，主要围绕协同支持体系、预防犯罪教育、不良行为干预、严重不良行为矫治、重新犯罪预防、法律责任等进行规范。</w:t>
      </w:r>
    </w:p>
    <w:p w14:paraId="64BBF5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60" w:lineRule="exact"/>
        <w:ind w:left="0" w:right="0" w:firstLine="620"/>
        <w:jc w:val="both"/>
        <w:textAlignment w:val="auto"/>
        <w:rPr>
          <w:rFonts w:hint="default" w:ascii="Times New Roman" w:hAnsi="Times New Roman" w:eastAsia="仿宋" w:cs="Times New Roman"/>
          <w:i w:val="0"/>
          <w:iCs w:val="0"/>
          <w:caps w:val="0"/>
          <w:color w:val="666666"/>
          <w:spacing w:val="0"/>
          <w:sz w:val="32"/>
          <w:szCs w:val="32"/>
        </w:rPr>
      </w:pPr>
      <w:r>
        <w:rPr>
          <w:rFonts w:hint="default" w:ascii="Times New Roman" w:hAnsi="Times New Roman" w:eastAsia="仿宋" w:cs="Times New Roman"/>
          <w:b w:val="0"/>
          <w:bCs w:val="0"/>
          <w:i w:val="0"/>
          <w:iCs w:val="0"/>
          <w:caps w:val="0"/>
          <w:color w:val="333333"/>
          <w:spacing w:val="15"/>
          <w:kern w:val="0"/>
          <w:sz w:val="32"/>
          <w:szCs w:val="32"/>
          <w:shd w:val="clear" w:fill="FFFFFF"/>
          <w:lang w:val="en-US" w:eastAsia="zh-CN" w:bidi="ar"/>
        </w:rPr>
        <w:t>《条例》明确了对未成年人的不良行为和严重不良行为及时进行分级预防、干预、矫治原则。将预防未成年人犯罪工作纳入平安河北建设，坚持党委领导、政府组织、部门协同、社会参与，实行综合治理；明确了有关部门和单位职责；加强与周边省份交流与协作，建立健全省内跨行政区域工作联动机制。</w:t>
      </w:r>
    </w:p>
    <w:p w14:paraId="4B1EEA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60" w:lineRule="exact"/>
        <w:ind w:left="0" w:right="0" w:firstLine="620"/>
        <w:jc w:val="both"/>
        <w:textAlignment w:val="auto"/>
        <w:rPr>
          <w:rFonts w:hint="default" w:ascii="Times New Roman" w:hAnsi="Times New Roman" w:eastAsia="仿宋" w:cs="Times New Roman"/>
          <w:i w:val="0"/>
          <w:iCs w:val="0"/>
          <w:caps w:val="0"/>
          <w:color w:val="666666"/>
          <w:spacing w:val="0"/>
          <w:sz w:val="32"/>
          <w:szCs w:val="32"/>
        </w:rPr>
      </w:pPr>
      <w:r>
        <w:rPr>
          <w:rFonts w:hint="default" w:ascii="Times New Roman" w:hAnsi="Times New Roman" w:eastAsia="仿宋" w:cs="Times New Roman"/>
          <w:b w:val="0"/>
          <w:bCs w:val="0"/>
          <w:i w:val="0"/>
          <w:iCs w:val="0"/>
          <w:caps w:val="0"/>
          <w:color w:val="333333"/>
          <w:spacing w:val="15"/>
          <w:kern w:val="0"/>
          <w:sz w:val="32"/>
          <w:szCs w:val="32"/>
          <w:shd w:val="clear" w:fill="FFFFFF"/>
          <w:lang w:val="en-US" w:eastAsia="zh-CN" w:bidi="ar"/>
        </w:rPr>
        <w:t>为推进形成预防未成年人犯罪合力，《条例》在上位法规定基础上，结合河北工作需要，创制性地设专章，对建立健全部门协同、基层联动、社会支持、公众参与的协同支持体系作出明确规定。明确规定建立监测预防、发现报告、评估转介、关爱帮扶、处置干预的联动反应机制；培育、引导和规范社会工作服务机构等社会组织、社会工作者参与预防未成年人犯罪工作；加强社会工作服务机构专业能力建设和未成年人社会工作专业人员培养、使用及志愿服务队伍建设。加强预防未成年人犯罪工作信息化建设；发挥12355青少年服务热线功能，推动完善与相关热线的合作和转介机制，加强分级分类联动处置。</w:t>
      </w:r>
    </w:p>
    <w:p w14:paraId="1F868C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60" w:lineRule="exact"/>
        <w:ind w:left="0" w:right="0" w:firstLine="620"/>
        <w:jc w:val="both"/>
        <w:textAlignment w:val="auto"/>
        <w:rPr>
          <w:rFonts w:hint="default" w:ascii="Times New Roman" w:hAnsi="Times New Roman" w:eastAsia="仿宋" w:cs="Times New Roman"/>
          <w:i w:val="0"/>
          <w:iCs w:val="0"/>
          <w:caps w:val="0"/>
          <w:color w:val="666666"/>
          <w:spacing w:val="0"/>
          <w:sz w:val="32"/>
          <w:szCs w:val="32"/>
        </w:rPr>
      </w:pPr>
      <w:r>
        <w:rPr>
          <w:rFonts w:hint="default" w:ascii="Times New Roman" w:hAnsi="Times New Roman" w:eastAsia="仿宋" w:cs="Times New Roman"/>
          <w:b w:val="0"/>
          <w:bCs w:val="0"/>
          <w:i w:val="0"/>
          <w:iCs w:val="0"/>
          <w:caps w:val="0"/>
          <w:color w:val="333333"/>
          <w:spacing w:val="15"/>
          <w:kern w:val="0"/>
          <w:sz w:val="32"/>
          <w:szCs w:val="32"/>
          <w:shd w:val="clear" w:fill="FFFFFF"/>
          <w:lang w:val="en-US" w:eastAsia="zh-CN" w:bidi="ar"/>
        </w:rPr>
        <w:t>《条例》设专章明确国家机关、家庭、学校、社会的预防教育责任。规定加强社会主义核心价值观教育，开展道德教育、法治教育、心理健康教育、生理教育、生命教育等预防犯罪相关教育；规定了未成年人父母及其他监护人教育职责；规定学校应当开展有针对性的预防犯罪教育，加强对未成年学生的心理健康教育与辅导；大力发展家庭教育指导服务事业；加强青少年法治教育基地建设，依托青少年宫、妇女儿童活动中心等未成年人活动场所、新时代文明实践中心开展多种形式的法治宣传教育活动。</w:t>
      </w:r>
    </w:p>
    <w:p w14:paraId="60F9D4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60" w:lineRule="exact"/>
        <w:ind w:left="0" w:right="0" w:firstLine="620"/>
        <w:jc w:val="both"/>
        <w:textAlignment w:val="auto"/>
        <w:rPr>
          <w:rFonts w:hint="default" w:ascii="Times New Roman" w:hAnsi="Times New Roman" w:eastAsia="仿宋" w:cs="Times New Roman"/>
          <w:i w:val="0"/>
          <w:iCs w:val="0"/>
          <w:caps w:val="0"/>
          <w:color w:val="666666"/>
          <w:spacing w:val="0"/>
          <w:sz w:val="32"/>
          <w:szCs w:val="32"/>
        </w:rPr>
      </w:pPr>
      <w:r>
        <w:rPr>
          <w:rFonts w:hint="default" w:ascii="Times New Roman" w:hAnsi="Times New Roman" w:eastAsia="仿宋" w:cs="Times New Roman"/>
          <w:b w:val="0"/>
          <w:bCs w:val="0"/>
          <w:i w:val="0"/>
          <w:iCs w:val="0"/>
          <w:caps w:val="0"/>
          <w:color w:val="333333"/>
          <w:spacing w:val="15"/>
          <w:kern w:val="0"/>
          <w:sz w:val="32"/>
          <w:szCs w:val="32"/>
          <w:shd w:val="clear" w:fill="FFFFFF"/>
          <w:lang w:val="en-US" w:eastAsia="zh-CN" w:bidi="ar"/>
        </w:rPr>
        <w:t>《条例》明确要求教育行政部门、学校落实关于欺凌防控教育处置职责。规定对教职员工、学生等开展防治学生欺凌的教育和培训；建立完善学生欺凌发现、认定和处置的工作流程，加强日常安全管理和校园智慧安防建设，严格排查并及时消除可能导致欺凌行为发生的各种隐患；学校应当根据欺凌行为的性质和程度，对实施欺凌的未成年学生依法加强管教，对严重的欺凌行为，应当及时向公安机关、教育行政部门报告，并配合相关部门依法处理，不得瞒报、谎报。</w:t>
      </w:r>
    </w:p>
    <w:p w14:paraId="419BB4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60" w:lineRule="exact"/>
        <w:ind w:left="0" w:right="0" w:firstLine="620"/>
        <w:jc w:val="both"/>
        <w:textAlignment w:val="auto"/>
        <w:rPr>
          <w:rFonts w:hint="default" w:ascii="Times New Roman" w:hAnsi="Times New Roman" w:eastAsia="仿宋" w:cs="Times New Roman"/>
          <w:i w:val="0"/>
          <w:iCs w:val="0"/>
          <w:caps w:val="0"/>
          <w:color w:val="666666"/>
          <w:spacing w:val="0"/>
          <w:sz w:val="32"/>
          <w:szCs w:val="32"/>
        </w:rPr>
      </w:pPr>
      <w:r>
        <w:rPr>
          <w:rFonts w:hint="default" w:ascii="Times New Roman" w:hAnsi="Times New Roman" w:eastAsia="仿宋" w:cs="Times New Roman"/>
          <w:b w:val="0"/>
          <w:bCs w:val="0"/>
          <w:i w:val="0"/>
          <w:iCs w:val="0"/>
          <w:caps w:val="0"/>
          <w:color w:val="333333"/>
          <w:spacing w:val="15"/>
          <w:kern w:val="0"/>
          <w:sz w:val="32"/>
          <w:szCs w:val="32"/>
          <w:shd w:val="clear" w:fill="FFFFFF"/>
          <w:lang w:val="en-US" w:eastAsia="zh-CN" w:bidi="ar"/>
        </w:rPr>
        <w:t>针对防治网络不良信息影响和网络沉迷问题，《条例》规定，网信等有关部门应当依法惩处利用网络从事危害未成年人身心健康的活动；任何组织和个人不得通过网络以文字、图片、音视频等形式，组织、教唆、胁迫、引诱、欺骗、帮助未成年人实施违法犯罪行为；网络产品和服务提供者发现危害或者可能影响未成年人身心健康信息的，应当立即采取有效措施，防止信息扩散，保存有关记录并及时报告，有关部门接到报告后应当依法及时处理；网络游戏、网络直播、网络音视频、网络社交等服务提供者应当针对未成年人设置相应的时间管理、权限管理、消费管理等功能。</w:t>
      </w:r>
    </w:p>
    <w:p w14:paraId="60FF87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60" w:lineRule="exact"/>
        <w:ind w:left="0" w:right="0" w:firstLine="620"/>
        <w:jc w:val="both"/>
        <w:textAlignment w:val="auto"/>
        <w:rPr>
          <w:rFonts w:hint="default" w:ascii="Times New Roman" w:hAnsi="Times New Roman" w:eastAsia="仿宋" w:cs="Times New Roman"/>
          <w:i w:val="0"/>
          <w:iCs w:val="0"/>
          <w:caps w:val="0"/>
          <w:color w:val="666666"/>
          <w:spacing w:val="0"/>
          <w:sz w:val="32"/>
          <w:szCs w:val="32"/>
        </w:rPr>
      </w:pPr>
      <w:r>
        <w:rPr>
          <w:rFonts w:hint="default" w:ascii="Times New Roman" w:hAnsi="Times New Roman" w:eastAsia="仿宋" w:cs="Times New Roman"/>
          <w:b w:val="0"/>
          <w:bCs w:val="0"/>
          <w:i w:val="0"/>
          <w:iCs w:val="0"/>
          <w:caps w:val="0"/>
          <w:color w:val="333333"/>
          <w:spacing w:val="15"/>
          <w:kern w:val="0"/>
          <w:sz w:val="32"/>
          <w:szCs w:val="32"/>
          <w:shd w:val="clear" w:fill="FFFFFF"/>
          <w:lang w:val="en-US" w:eastAsia="zh-CN" w:bidi="ar"/>
        </w:rPr>
        <w:t>《条例》强化留守、困境和社会闲散未成年人关爱帮扶措施。规定学校对尚未完成义务教育的辍学学生进行登记并劝返复学，劝返无效的，应当及时向教育行政部门书面报告；对留守未成年人和困境未成年人家庭建档立卡，提供生活帮扶、创业就业支持等关爱服务，为其监护人履行监护职责、实施家庭教育创造条件；加强对社会闲散未成年人的帮扶，有关部门、社会组织应当加强与不在学、未就业的未成年人联系，为已经完成义务教育、有就学就业意愿的未成年人提供便利。</w:t>
      </w:r>
    </w:p>
    <w:p w14:paraId="799F89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60" w:lineRule="exact"/>
        <w:ind w:left="0" w:right="0" w:firstLine="620"/>
        <w:jc w:val="both"/>
        <w:textAlignment w:val="auto"/>
        <w:rPr>
          <w:rFonts w:hint="default" w:ascii="Times New Roman" w:hAnsi="Times New Roman" w:eastAsia="仿宋" w:cs="Times New Roman"/>
          <w:i w:val="0"/>
          <w:iCs w:val="0"/>
          <w:caps w:val="0"/>
          <w:color w:val="666666"/>
          <w:spacing w:val="0"/>
          <w:sz w:val="32"/>
          <w:szCs w:val="32"/>
        </w:rPr>
      </w:pPr>
      <w:r>
        <w:rPr>
          <w:rFonts w:hint="default" w:ascii="Times New Roman" w:hAnsi="Times New Roman" w:eastAsia="仿宋" w:cs="Times New Roman"/>
          <w:b w:val="0"/>
          <w:bCs w:val="0"/>
          <w:i w:val="0"/>
          <w:iCs w:val="0"/>
          <w:caps w:val="0"/>
          <w:color w:val="333333"/>
          <w:spacing w:val="15"/>
          <w:kern w:val="0"/>
          <w:sz w:val="32"/>
          <w:szCs w:val="32"/>
          <w:shd w:val="clear" w:fill="FFFFFF"/>
          <w:lang w:val="en-US" w:eastAsia="zh-CN" w:bidi="ar"/>
        </w:rPr>
        <w:t>《条例》在上位法基础上细化了不良行为种类，明确未成年人父母及其他监护人，以及居民委员会、村民委员会和公安机关干预职责；明确学校对有不良行为未成年学生予以训导等管理教育措施，建立家校合作机制；推动学校、社区和家庭禁毒教育联动；净化校园及其周边环境；明确营业性歌舞娱乐场所、酒吧、互联网上网服务营业场所以及其他法律法规规定未成年人不宜进入的场所，不得允许未成年人进入；游艺娱乐场所设置的电子游戏设备不得违规向未成年人提供；电竞酒店、剧本娱乐、台球厅等经营场所不得违规接待未成年人。</w:t>
      </w:r>
    </w:p>
    <w:p w14:paraId="12A49F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60" w:lineRule="exact"/>
        <w:ind w:left="0" w:right="0" w:firstLine="620"/>
        <w:jc w:val="both"/>
        <w:textAlignment w:val="auto"/>
        <w:rPr>
          <w:rFonts w:hint="default" w:ascii="Times New Roman" w:hAnsi="Times New Roman" w:eastAsia="仿宋" w:cs="Times New Roman"/>
          <w:i w:val="0"/>
          <w:iCs w:val="0"/>
          <w:caps w:val="0"/>
          <w:color w:val="666666"/>
          <w:spacing w:val="0"/>
          <w:sz w:val="32"/>
          <w:szCs w:val="32"/>
        </w:rPr>
      </w:pPr>
      <w:r>
        <w:rPr>
          <w:rFonts w:hint="default" w:ascii="Times New Roman" w:hAnsi="Times New Roman" w:eastAsia="仿宋" w:cs="Times New Roman"/>
          <w:b w:val="0"/>
          <w:bCs w:val="0"/>
          <w:i w:val="0"/>
          <w:iCs w:val="0"/>
          <w:caps w:val="0"/>
          <w:color w:val="333333"/>
          <w:spacing w:val="15"/>
          <w:kern w:val="0"/>
          <w:sz w:val="32"/>
          <w:szCs w:val="32"/>
          <w:shd w:val="clear" w:fill="FFFFFF"/>
          <w:lang w:val="en-US" w:eastAsia="zh-CN" w:bidi="ar"/>
        </w:rPr>
        <w:t>《条例》在上位法基础上细化严重不良行为种类，明确未成年人父母及其他监护人职责，明确公安机关可以对严重不良行为未成年人采取训诫等矫治教育措施。按照国家规定，明确专门教育指导委员会的组成，以及接受专门教育和专门矫治教育的具体情形。明确省专门教育指导委员会按照国家规定制定本省专门教育和专门矫治教育具体工作规范。</w:t>
      </w:r>
    </w:p>
    <w:p w14:paraId="1B5CAD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60" w:lineRule="exact"/>
        <w:ind w:left="0" w:right="0" w:firstLine="620"/>
        <w:jc w:val="both"/>
        <w:textAlignment w:val="auto"/>
        <w:rPr>
          <w:rFonts w:hint="default" w:ascii="Times New Roman" w:hAnsi="Times New Roman" w:eastAsia="仿宋" w:cs="Times New Roman"/>
          <w:i w:val="0"/>
          <w:iCs w:val="0"/>
          <w:caps w:val="0"/>
          <w:color w:val="666666"/>
          <w:spacing w:val="0"/>
          <w:sz w:val="32"/>
          <w:szCs w:val="32"/>
        </w:rPr>
      </w:pPr>
      <w:r>
        <w:rPr>
          <w:rFonts w:hint="default" w:ascii="Times New Roman" w:hAnsi="Times New Roman" w:eastAsia="仿宋" w:cs="Times New Roman"/>
          <w:b w:val="0"/>
          <w:bCs w:val="0"/>
          <w:i w:val="0"/>
          <w:iCs w:val="0"/>
          <w:caps w:val="0"/>
          <w:color w:val="333333"/>
          <w:spacing w:val="15"/>
          <w:kern w:val="0"/>
          <w:sz w:val="32"/>
          <w:szCs w:val="32"/>
          <w:shd w:val="clear" w:fill="FFFFFF"/>
          <w:lang w:val="en-US" w:eastAsia="zh-CN" w:bidi="ar"/>
        </w:rPr>
        <w:t>《条例》规定，公检法办理未成年人案件，应当将法治教育贯穿办案全过程；未成年犯管教所、社区矫正机构应当针对未成年犯、未成年社区矫正对象的案情、刑期、心理特点和改造表现，制定个别化矫治方案；明确了公安机关、人民检察院、人民法院可以依法责令未成年人的父母或者其他监护人接受家庭教育指导的情形。总结河北省实践经验，规定探索在审判卷之外建立保护预防卷，落实社会调查、心理疏导、家庭教育指导、司法救助、判后回访等措施，规范未成年人延伸保护工作。司法行政部门应当依法履行安置帮教工作职责，与有关部门协同配合，做好刑满释放和接受社区矫正的未成年人的就学就业、心理疏导、技能培训、帮扶救助等工作。</w:t>
      </w:r>
    </w:p>
    <w:p w14:paraId="1C57BA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Autospacing="0" w:after="157" w:afterAutospacing="0" w:line="560" w:lineRule="exact"/>
        <w:ind w:left="0" w:right="0" w:firstLine="620"/>
        <w:jc w:val="both"/>
        <w:textAlignment w:val="auto"/>
        <w:rPr>
          <w:rFonts w:hint="default" w:ascii="Times New Roman" w:hAnsi="Times New Roman" w:eastAsia="仿宋" w:cs="Times New Roman"/>
          <w:i w:val="0"/>
          <w:iCs w:val="0"/>
          <w:caps w:val="0"/>
          <w:color w:val="666666"/>
          <w:spacing w:val="0"/>
          <w:sz w:val="32"/>
          <w:szCs w:val="32"/>
        </w:rPr>
      </w:pPr>
      <w:r>
        <w:rPr>
          <w:rFonts w:hint="default" w:ascii="Times New Roman" w:hAnsi="Times New Roman" w:eastAsia="仿宋" w:cs="Times New Roman"/>
          <w:b w:val="0"/>
          <w:bCs w:val="0"/>
          <w:i w:val="0"/>
          <w:iCs w:val="0"/>
          <w:caps w:val="0"/>
          <w:color w:val="333333"/>
          <w:spacing w:val="15"/>
          <w:kern w:val="0"/>
          <w:sz w:val="32"/>
          <w:szCs w:val="32"/>
          <w:shd w:val="clear" w:fill="FFFFFF"/>
          <w:lang w:val="en-US" w:eastAsia="zh-CN" w:bidi="ar"/>
        </w:rPr>
        <w:t>此外，《条例》对违反本《条例》的行为专章规定了法律责任，进一步保障条例有效实施。</w:t>
      </w:r>
    </w:p>
    <w:p w14:paraId="226C3FA2">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56658B"/>
    <w:rsid w:val="22E24F49"/>
    <w:rsid w:val="422A5E1B"/>
    <w:rsid w:val="48A026DA"/>
    <w:rsid w:val="48AB7EF6"/>
    <w:rsid w:val="5AB515BF"/>
    <w:rsid w:val="5FB636DD"/>
    <w:rsid w:val="6D6F7906"/>
    <w:rsid w:val="74A16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2177</Words>
  <Characters>2187</Characters>
  <Lines>0</Lines>
  <Paragraphs>0</Paragraphs>
  <TotalTime>10</TotalTime>
  <ScaleCrop>false</ScaleCrop>
  <LinksUpToDate>false</LinksUpToDate>
  <CharactersWithSpaces>2187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2025-11-04T07:46:00Z</dcterms:created>
  <dc:creator>Admin</dc:creator>
  <cp:lastModifiedBy>寇</cp:lastModifiedBy>
  <dcterms:modified xsi:type="dcterms:W3CDTF">2026-07-15T01:48:12Z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eyJoZGlkIjoiOTJmYTFlMTFkOGMzYTJhN2ZhZTJiNThhZDdiYzkzZDQiLCJ1c2VySWQiOiI3MDQ3ODc1NjgifQ==</vt:lpwstr>
  </property>
  <property fmtid="{D5CDD505-2E9C-101B-9397-08002B2CF9AE}" pid="4" name="ICV">
    <vt:lpwstr>B1E249F8623341798E23633DCE8A223B_13</vt:lpwstr>
  </property>
</Properties>
</file>